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8613" w14:textId="77777777" w:rsidR="00E30A02" w:rsidRPr="00655544" w:rsidRDefault="00E30A02" w:rsidP="00E30A02">
      <w:pPr>
        <w:pStyle w:val="Title"/>
        <w:rPr>
          <w:u w:val="single"/>
        </w:rPr>
      </w:pPr>
      <w:r w:rsidRPr="00655544">
        <w:rPr>
          <w:u w:val="single"/>
        </w:rPr>
        <w:t>BEFORE THE NEW MEXICO PUBLIC REGULATION COMMISSION</w:t>
      </w:r>
    </w:p>
    <w:p w14:paraId="71B17EE9" w14:textId="4525E883" w:rsidR="00D07C46" w:rsidRDefault="00D07C46" w:rsidP="00D07C46">
      <w:pPr>
        <w:pStyle w:val="Heading1"/>
        <w:tabs>
          <w:tab w:val="left" w:pos="2200"/>
        </w:tabs>
        <w:spacing w:before="0" w:after="0"/>
        <w:jc w:val="both"/>
        <w:rPr>
          <w:rFonts w:ascii="Times New Roman" w:hAnsi="Times New Roman"/>
          <w:sz w:val="24"/>
          <w:u w:val="single"/>
        </w:rPr>
      </w:pPr>
    </w:p>
    <w:tbl>
      <w:tblPr>
        <w:tblW w:w="9628" w:type="dxa"/>
        <w:tblInd w:w="108" w:type="dxa"/>
        <w:tblLayout w:type="fixed"/>
        <w:tblLook w:val="04A0" w:firstRow="1" w:lastRow="0" w:firstColumn="1" w:lastColumn="0" w:noHBand="0" w:noVBand="1"/>
      </w:tblPr>
      <w:tblGrid>
        <w:gridCol w:w="5682"/>
        <w:gridCol w:w="358"/>
        <w:gridCol w:w="3588"/>
      </w:tblGrid>
      <w:tr w:rsidR="00D07C46" w:rsidRPr="00D07C46" w14:paraId="75166455" w14:textId="77777777" w:rsidTr="00144AAB">
        <w:trPr>
          <w:trHeight w:val="3127"/>
        </w:trPr>
        <w:tc>
          <w:tcPr>
            <w:tcW w:w="5682" w:type="dxa"/>
            <w:tcBorders>
              <w:top w:val="nil"/>
              <w:left w:val="nil"/>
              <w:bottom w:val="single" w:sz="4" w:space="0" w:color="auto"/>
              <w:right w:val="nil"/>
            </w:tcBorders>
            <w:vAlign w:val="center"/>
          </w:tcPr>
          <w:p w14:paraId="415EA156" w14:textId="209BC043" w:rsidR="00D07C46" w:rsidRPr="00D07C46" w:rsidRDefault="00D07C46" w:rsidP="00D07C46">
            <w:pPr>
              <w:suppressLineNumbers/>
              <w:autoSpaceDE w:val="0"/>
              <w:autoSpaceDN w:val="0"/>
              <w:adjustRightInd w:val="0"/>
              <w:rPr>
                <w:b/>
                <w:bCs/>
              </w:rPr>
            </w:pPr>
            <w:r w:rsidRPr="00D07C46">
              <w:rPr>
                <w:b/>
              </w:rPr>
              <w:t>IN THE MATTER OF APPROVAL OF A</w:t>
            </w:r>
            <w:r w:rsidR="00A80B33">
              <w:rPr>
                <w:b/>
              </w:rPr>
              <w:t>N AMENDED</w:t>
            </w:r>
            <w:r w:rsidRPr="00D07C46">
              <w:rPr>
                <w:b/>
              </w:rPr>
              <w:t xml:space="preserve"> SERVICE AGREEMENT BETWEEN ROOSEVELT COUNTY ELECTRIC COOPERATIVE, INC., AND SOUTHWESTERN PUBLIC SERVICE COMPANY.</w:t>
            </w:r>
            <w:r w:rsidRPr="00D07C46">
              <w:rPr>
                <w:b/>
              </w:rPr>
              <w:tab/>
            </w:r>
          </w:p>
          <w:p w14:paraId="66604146" w14:textId="77777777" w:rsidR="00D07C46" w:rsidRPr="00D07C46" w:rsidRDefault="00D07C46" w:rsidP="00D07C46">
            <w:pPr>
              <w:suppressLineNumbers/>
              <w:autoSpaceDE w:val="0"/>
              <w:autoSpaceDN w:val="0"/>
              <w:adjustRightInd w:val="0"/>
              <w:rPr>
                <w:b/>
                <w:bCs/>
              </w:rPr>
            </w:pPr>
          </w:p>
          <w:p w14:paraId="15B4FCE3" w14:textId="77777777" w:rsidR="00D07C46" w:rsidRPr="00D07C46" w:rsidRDefault="00D07C46" w:rsidP="00D07C46">
            <w:pPr>
              <w:suppressLineNumbers/>
              <w:autoSpaceDE w:val="0"/>
              <w:autoSpaceDN w:val="0"/>
              <w:adjustRightInd w:val="0"/>
            </w:pPr>
            <w:r w:rsidRPr="00D07C46">
              <w:rPr>
                <w:b/>
              </w:rPr>
              <w:t>SOUTHWESTERN PUBLIC SERVICE COMPANY AND ROOSEVELT COUNTY ELECTRIC COOPERATIVE, INC.,  APPLICANTS.</w:t>
            </w:r>
          </w:p>
        </w:tc>
        <w:tc>
          <w:tcPr>
            <w:tcW w:w="358" w:type="dxa"/>
            <w:hideMark/>
          </w:tcPr>
          <w:p w14:paraId="5B565DDD" w14:textId="77777777" w:rsidR="00D07C46" w:rsidRPr="00D07C46" w:rsidRDefault="00D07C46" w:rsidP="00D07C46">
            <w:pPr>
              <w:rPr>
                <w:b/>
                <w:bCs/>
              </w:rPr>
            </w:pPr>
          </w:p>
          <w:p w14:paraId="1B5BD97A" w14:textId="77777777" w:rsidR="00D07C46" w:rsidRPr="00D07C46" w:rsidRDefault="00D07C46" w:rsidP="00D07C46">
            <w:pPr>
              <w:rPr>
                <w:b/>
                <w:bCs/>
              </w:rPr>
            </w:pPr>
            <w:r w:rsidRPr="00D07C46">
              <w:rPr>
                <w:b/>
                <w:bCs/>
              </w:rPr>
              <w:t>)</w:t>
            </w:r>
          </w:p>
          <w:p w14:paraId="2DB2F044" w14:textId="77777777" w:rsidR="00D07C46" w:rsidRPr="00D07C46" w:rsidRDefault="00D07C46" w:rsidP="00D07C46">
            <w:pPr>
              <w:rPr>
                <w:b/>
                <w:bCs/>
              </w:rPr>
            </w:pPr>
            <w:r w:rsidRPr="00D07C46">
              <w:rPr>
                <w:b/>
                <w:bCs/>
              </w:rPr>
              <w:t>)</w:t>
            </w:r>
          </w:p>
          <w:p w14:paraId="44B83D77" w14:textId="77777777" w:rsidR="00D07C46" w:rsidRPr="00D07C46" w:rsidRDefault="00D07C46" w:rsidP="00D07C46">
            <w:pPr>
              <w:rPr>
                <w:b/>
                <w:bCs/>
              </w:rPr>
            </w:pPr>
            <w:r w:rsidRPr="00D07C46">
              <w:rPr>
                <w:b/>
                <w:bCs/>
              </w:rPr>
              <w:t>)</w:t>
            </w:r>
          </w:p>
          <w:p w14:paraId="6B1AD31F" w14:textId="77777777" w:rsidR="00D07C46" w:rsidRPr="00D07C46" w:rsidRDefault="00D07C46" w:rsidP="00D07C46">
            <w:pPr>
              <w:rPr>
                <w:b/>
                <w:bCs/>
              </w:rPr>
            </w:pPr>
            <w:r w:rsidRPr="00D07C46">
              <w:rPr>
                <w:b/>
                <w:bCs/>
              </w:rPr>
              <w:t>)</w:t>
            </w:r>
          </w:p>
          <w:p w14:paraId="7F2244BE" w14:textId="77777777" w:rsidR="00D07C46" w:rsidRPr="00D07C46" w:rsidRDefault="00D07C46" w:rsidP="00D07C46">
            <w:pPr>
              <w:rPr>
                <w:b/>
                <w:bCs/>
              </w:rPr>
            </w:pPr>
            <w:r w:rsidRPr="00D07C46">
              <w:rPr>
                <w:b/>
                <w:bCs/>
              </w:rPr>
              <w:t>)</w:t>
            </w:r>
          </w:p>
          <w:p w14:paraId="60B43039" w14:textId="77777777" w:rsidR="00D07C46" w:rsidRPr="00D07C46" w:rsidRDefault="00D07C46" w:rsidP="00D07C46">
            <w:pPr>
              <w:rPr>
                <w:b/>
                <w:bCs/>
              </w:rPr>
            </w:pPr>
            <w:r w:rsidRPr="00D07C46">
              <w:rPr>
                <w:b/>
                <w:bCs/>
              </w:rPr>
              <w:t>)</w:t>
            </w:r>
          </w:p>
          <w:p w14:paraId="7BAAD6A4" w14:textId="77777777" w:rsidR="00D07C46" w:rsidRPr="00D07C46" w:rsidRDefault="00D07C46" w:rsidP="00D07C46">
            <w:pPr>
              <w:rPr>
                <w:b/>
                <w:bCs/>
              </w:rPr>
            </w:pPr>
            <w:r w:rsidRPr="00D07C46">
              <w:rPr>
                <w:b/>
                <w:bCs/>
              </w:rPr>
              <w:t>)</w:t>
            </w:r>
          </w:p>
          <w:p w14:paraId="63F94CE9" w14:textId="77777777" w:rsidR="00D07C46" w:rsidRPr="00D07C46" w:rsidRDefault="00D07C46" w:rsidP="00D07C46">
            <w:pPr>
              <w:rPr>
                <w:b/>
                <w:bCs/>
              </w:rPr>
            </w:pPr>
            <w:r w:rsidRPr="00D07C46">
              <w:rPr>
                <w:b/>
                <w:bCs/>
              </w:rPr>
              <w:t>)</w:t>
            </w:r>
          </w:p>
          <w:p w14:paraId="6E085FE2" w14:textId="77777777" w:rsidR="00D07C46" w:rsidRPr="00D07C46" w:rsidRDefault="00D07C46" w:rsidP="00D07C46">
            <w:pPr>
              <w:rPr>
                <w:b/>
                <w:bCs/>
              </w:rPr>
            </w:pPr>
            <w:r w:rsidRPr="00D07C46">
              <w:rPr>
                <w:b/>
                <w:bCs/>
              </w:rPr>
              <w:t>)</w:t>
            </w:r>
          </w:p>
          <w:p w14:paraId="525347C1" w14:textId="77777777" w:rsidR="00D07C46" w:rsidRPr="00D07C46" w:rsidRDefault="00D07C46" w:rsidP="00D07C46">
            <w:pPr>
              <w:rPr>
                <w:b/>
                <w:bCs/>
              </w:rPr>
            </w:pPr>
            <w:r w:rsidRPr="00D07C46">
              <w:rPr>
                <w:b/>
                <w:bCs/>
              </w:rPr>
              <w:t>)</w:t>
            </w:r>
          </w:p>
          <w:p w14:paraId="5FF48B42" w14:textId="77777777" w:rsidR="00D07C46" w:rsidRPr="00D07C46" w:rsidRDefault="00D07C46" w:rsidP="00D07C46">
            <w:pPr>
              <w:rPr>
                <w:b/>
                <w:bCs/>
              </w:rPr>
            </w:pPr>
          </w:p>
        </w:tc>
        <w:tc>
          <w:tcPr>
            <w:tcW w:w="3588" w:type="dxa"/>
          </w:tcPr>
          <w:p w14:paraId="438F3C24" w14:textId="77777777" w:rsidR="00D07C46" w:rsidRPr="00D07C46" w:rsidRDefault="00D07C46" w:rsidP="00D07C46">
            <w:pPr>
              <w:tabs>
                <w:tab w:val="left" w:pos="2650"/>
              </w:tabs>
              <w:jc w:val="center"/>
              <w:rPr>
                <w:b/>
                <w:bCs/>
              </w:rPr>
            </w:pPr>
          </w:p>
          <w:p w14:paraId="690310C2" w14:textId="77777777" w:rsidR="00D07C46" w:rsidRPr="00D07C46" w:rsidRDefault="00D07C46" w:rsidP="00D07C46">
            <w:pPr>
              <w:tabs>
                <w:tab w:val="left" w:pos="2650"/>
              </w:tabs>
              <w:jc w:val="center"/>
              <w:rPr>
                <w:b/>
                <w:bCs/>
              </w:rPr>
            </w:pPr>
          </w:p>
          <w:p w14:paraId="35A6E0F5" w14:textId="77777777" w:rsidR="00D07C46" w:rsidRPr="00D07C46" w:rsidRDefault="00D07C46" w:rsidP="00D07C46">
            <w:pPr>
              <w:tabs>
                <w:tab w:val="left" w:pos="2650"/>
              </w:tabs>
              <w:jc w:val="center"/>
              <w:rPr>
                <w:b/>
                <w:bCs/>
              </w:rPr>
            </w:pPr>
          </w:p>
          <w:p w14:paraId="5E10E1DB" w14:textId="77777777" w:rsidR="00D07C46" w:rsidRPr="00D07C46" w:rsidRDefault="00D07C46" w:rsidP="00D07C46">
            <w:pPr>
              <w:tabs>
                <w:tab w:val="left" w:pos="2650"/>
              </w:tabs>
              <w:jc w:val="center"/>
              <w:rPr>
                <w:b/>
                <w:bCs/>
              </w:rPr>
            </w:pPr>
          </w:p>
          <w:p w14:paraId="48B57A01" w14:textId="7A16833B" w:rsidR="00D07C46" w:rsidRPr="00D07C46" w:rsidRDefault="00D07C46" w:rsidP="00D07C46">
            <w:pPr>
              <w:tabs>
                <w:tab w:val="left" w:pos="2650"/>
              </w:tabs>
              <w:rPr>
                <w:strike/>
              </w:rPr>
            </w:pPr>
            <w:r w:rsidRPr="00D07C46">
              <w:rPr>
                <w:b/>
                <w:bCs/>
              </w:rPr>
              <w:t>CASE N</w:t>
            </w:r>
            <w:r w:rsidR="00574D5C">
              <w:rPr>
                <w:b/>
                <w:bCs/>
              </w:rPr>
              <w:t>o</w:t>
            </w:r>
            <w:r w:rsidRPr="00D07C46">
              <w:rPr>
                <w:b/>
                <w:bCs/>
              </w:rPr>
              <w:t>. 24-00251-UT</w:t>
            </w:r>
          </w:p>
        </w:tc>
      </w:tr>
    </w:tbl>
    <w:p w14:paraId="625ABE35" w14:textId="56B826B3" w:rsidR="00D07C46" w:rsidRDefault="00D07C46" w:rsidP="00D07C46">
      <w:pPr>
        <w:pStyle w:val="Heading1"/>
        <w:tabs>
          <w:tab w:val="left" w:pos="2200"/>
        </w:tabs>
        <w:spacing w:before="0" w:after="0"/>
        <w:jc w:val="both"/>
        <w:rPr>
          <w:rFonts w:ascii="Times New Roman" w:hAnsi="Times New Roman"/>
          <w:sz w:val="24"/>
          <w:u w:val="single"/>
        </w:rPr>
      </w:pPr>
    </w:p>
    <w:p w14:paraId="029E0001" w14:textId="40E9BF40" w:rsidR="008724ED" w:rsidRDefault="008724ED" w:rsidP="00D07C46">
      <w:pPr>
        <w:pStyle w:val="Heading1"/>
        <w:spacing w:before="0" w:after="0"/>
        <w:jc w:val="center"/>
        <w:rPr>
          <w:rFonts w:ascii="Times New Roman" w:hAnsi="Times New Roman"/>
          <w:sz w:val="24"/>
          <w:u w:val="single"/>
        </w:rPr>
      </w:pPr>
      <w:r>
        <w:rPr>
          <w:rFonts w:ascii="Times New Roman" w:hAnsi="Times New Roman"/>
          <w:sz w:val="24"/>
          <w:u w:val="single"/>
        </w:rPr>
        <w:t>NOTICE</w:t>
      </w:r>
      <w:r w:rsidR="00B9282C">
        <w:rPr>
          <w:rFonts w:ascii="Times New Roman" w:hAnsi="Times New Roman"/>
          <w:sz w:val="24"/>
          <w:u w:val="single"/>
        </w:rPr>
        <w:t xml:space="preserve"> </w:t>
      </w:r>
      <w:r w:rsidR="006307F3">
        <w:rPr>
          <w:rFonts w:ascii="Times New Roman" w:hAnsi="Times New Roman"/>
          <w:sz w:val="24"/>
          <w:u w:val="single"/>
        </w:rPr>
        <w:t xml:space="preserve">TO CUSTOMERS OF SPS AND </w:t>
      </w:r>
      <w:r w:rsidR="0075108C">
        <w:rPr>
          <w:rFonts w:ascii="Times New Roman" w:hAnsi="Times New Roman"/>
          <w:sz w:val="24"/>
          <w:u w:val="single"/>
        </w:rPr>
        <w:t xml:space="preserve">RCEC </w:t>
      </w:r>
      <w:r w:rsidR="00B9282C">
        <w:rPr>
          <w:rFonts w:ascii="Times New Roman" w:hAnsi="Times New Roman"/>
          <w:sz w:val="24"/>
          <w:u w:val="single"/>
        </w:rPr>
        <w:t>OF PROCEEDING AND HEARING</w:t>
      </w:r>
    </w:p>
    <w:p w14:paraId="28D5249D" w14:textId="77777777" w:rsidR="006307F3" w:rsidRDefault="006307F3" w:rsidP="006307F3"/>
    <w:p w14:paraId="6F6DF91B" w14:textId="4DA137EB" w:rsidR="006307F3" w:rsidRPr="00F47DDD" w:rsidRDefault="006307F3" w:rsidP="006307F3">
      <w:pPr>
        <w:spacing w:line="480" w:lineRule="auto"/>
        <w:ind w:firstLine="720"/>
        <w:jc w:val="both"/>
      </w:pPr>
      <w:r w:rsidRPr="00F47DDD">
        <w:t xml:space="preserve">To </w:t>
      </w:r>
      <w:r>
        <w:t xml:space="preserve">the customers of Southwestern Public Service Company </w:t>
      </w:r>
      <w:r w:rsidRPr="00F47DDD">
        <w:t>(</w:t>
      </w:r>
      <w:r>
        <w:t xml:space="preserve">SPS </w:t>
      </w:r>
      <w:r w:rsidRPr="00F47DDD">
        <w:t>or Company)</w:t>
      </w:r>
      <w:r>
        <w:t xml:space="preserve"> and Roosevelt County Electric Cooperative, Inc. (RCEC)</w:t>
      </w:r>
      <w:r w:rsidRPr="00F47DDD">
        <w:t xml:space="preserve">: </w:t>
      </w:r>
      <w:r w:rsidR="00D07C46">
        <w:t>T</w:t>
      </w:r>
      <w:r w:rsidRPr="00F47DDD">
        <w:t xml:space="preserve">his document is required by the New Mexico Public Regulation Commission (NMPRC or Commission). The purpose of this document is to provide you with notice of the </w:t>
      </w:r>
      <w:r>
        <w:t xml:space="preserve">Joint </w:t>
      </w:r>
      <w:r w:rsidRPr="00F47DDD">
        <w:t xml:space="preserve">Application </w:t>
      </w:r>
      <w:r>
        <w:t xml:space="preserve">SPS and </w:t>
      </w:r>
      <w:r w:rsidR="00B34256">
        <w:t>RC</w:t>
      </w:r>
      <w:r>
        <w:t xml:space="preserve">EC </w:t>
      </w:r>
      <w:r w:rsidRPr="00F47DDD">
        <w:t xml:space="preserve">filed with the NMPRC requesting approval of </w:t>
      </w:r>
      <w:r w:rsidR="00830A03">
        <w:t>their Amended Service Agreement</w:t>
      </w:r>
      <w:r w:rsidRPr="00F47DDD">
        <w:t>. This Notice:</w:t>
      </w:r>
    </w:p>
    <w:p w14:paraId="68FA83EE" w14:textId="61E7132B" w:rsidR="006307F3" w:rsidRPr="00F47DDD" w:rsidRDefault="006307F3" w:rsidP="006307F3">
      <w:pPr>
        <w:pStyle w:val="ListParagraph"/>
        <w:widowControl w:val="0"/>
        <w:numPr>
          <w:ilvl w:val="0"/>
          <w:numId w:val="39"/>
        </w:numPr>
        <w:overflowPunct/>
        <w:adjustRightInd/>
        <w:spacing w:line="480" w:lineRule="auto"/>
        <w:contextualSpacing w:val="0"/>
        <w:jc w:val="both"/>
        <w:textAlignment w:val="auto"/>
        <w:rPr>
          <w:sz w:val="24"/>
          <w:szCs w:val="24"/>
        </w:rPr>
      </w:pPr>
      <w:r>
        <w:rPr>
          <w:sz w:val="24"/>
          <w:szCs w:val="24"/>
        </w:rPr>
        <w:t>d</w:t>
      </w:r>
      <w:r w:rsidRPr="00F47DDD">
        <w:rPr>
          <w:sz w:val="24"/>
          <w:szCs w:val="24"/>
        </w:rPr>
        <w:t xml:space="preserve">escribes the NMPRC process for considering </w:t>
      </w:r>
      <w:r>
        <w:rPr>
          <w:sz w:val="24"/>
          <w:szCs w:val="24"/>
        </w:rPr>
        <w:t>SPS</w:t>
      </w:r>
      <w:r w:rsidRPr="00F47DDD">
        <w:rPr>
          <w:sz w:val="24"/>
          <w:szCs w:val="24"/>
        </w:rPr>
        <w:t xml:space="preserve">’s </w:t>
      </w:r>
      <w:r>
        <w:rPr>
          <w:sz w:val="24"/>
          <w:szCs w:val="24"/>
        </w:rPr>
        <w:t xml:space="preserve">and </w:t>
      </w:r>
      <w:r w:rsidR="00830A03">
        <w:rPr>
          <w:sz w:val="24"/>
          <w:szCs w:val="24"/>
        </w:rPr>
        <w:t>RC</w:t>
      </w:r>
      <w:r>
        <w:rPr>
          <w:sz w:val="24"/>
          <w:szCs w:val="24"/>
        </w:rPr>
        <w:t xml:space="preserve">EC’s Joint </w:t>
      </w:r>
      <w:r w:rsidRPr="00F47DDD">
        <w:rPr>
          <w:sz w:val="24"/>
          <w:szCs w:val="24"/>
        </w:rPr>
        <w:t>Application</w:t>
      </w:r>
      <w:r w:rsidR="00E241DD">
        <w:rPr>
          <w:sz w:val="24"/>
          <w:szCs w:val="24"/>
        </w:rPr>
        <w:t xml:space="preserve"> </w:t>
      </w:r>
      <w:r w:rsidRPr="00F47DDD">
        <w:rPr>
          <w:sz w:val="24"/>
          <w:szCs w:val="24"/>
        </w:rPr>
        <w:t>and</w:t>
      </w:r>
    </w:p>
    <w:p w14:paraId="6DA43CDE" w14:textId="77777777" w:rsidR="006307F3" w:rsidRPr="00F47DDD" w:rsidRDefault="006307F3" w:rsidP="006307F3">
      <w:pPr>
        <w:pStyle w:val="ListParagraph"/>
        <w:widowControl w:val="0"/>
        <w:numPr>
          <w:ilvl w:val="0"/>
          <w:numId w:val="39"/>
        </w:numPr>
        <w:overflowPunct/>
        <w:adjustRightInd/>
        <w:spacing w:line="480" w:lineRule="auto"/>
        <w:contextualSpacing w:val="0"/>
        <w:jc w:val="both"/>
        <w:textAlignment w:val="auto"/>
        <w:rPr>
          <w:sz w:val="24"/>
          <w:szCs w:val="24"/>
        </w:rPr>
      </w:pPr>
      <w:r>
        <w:rPr>
          <w:sz w:val="24"/>
          <w:szCs w:val="24"/>
        </w:rPr>
        <w:t>d</w:t>
      </w:r>
      <w:r w:rsidRPr="00F47DDD">
        <w:rPr>
          <w:sz w:val="24"/>
          <w:szCs w:val="24"/>
        </w:rPr>
        <w:t>escribes how you can participate in this process if you wish to do so.</w:t>
      </w:r>
    </w:p>
    <w:p w14:paraId="50BFF0B5" w14:textId="77777777" w:rsidR="006307F3" w:rsidRPr="00F47DDD" w:rsidRDefault="006307F3" w:rsidP="006307F3">
      <w:pPr>
        <w:spacing w:line="480" w:lineRule="auto"/>
        <w:ind w:firstLine="720"/>
        <w:contextualSpacing/>
        <w:jc w:val="both"/>
        <w:rPr>
          <w:kern w:val="16"/>
        </w:rPr>
      </w:pPr>
      <w:r w:rsidRPr="00F47DDD">
        <w:t xml:space="preserve">If you wish to participate in this process, the information below details how you may participate. </w:t>
      </w:r>
      <w:r w:rsidRPr="00F47DDD">
        <w:rPr>
          <w:b/>
          <w:bCs/>
        </w:rPr>
        <w:t>If you do not wish to participate, no action is required on your part.</w:t>
      </w:r>
      <w:r w:rsidRPr="00F47DDD">
        <w:rPr>
          <w:kern w:val="16"/>
        </w:rPr>
        <w:t xml:space="preserve"> </w:t>
      </w:r>
    </w:p>
    <w:p w14:paraId="6E82247F" w14:textId="77777777" w:rsidR="006307F3" w:rsidRPr="00F47DDD" w:rsidRDefault="006307F3" w:rsidP="006307F3">
      <w:pPr>
        <w:spacing w:line="480" w:lineRule="auto"/>
        <w:ind w:firstLine="720"/>
        <w:contextualSpacing/>
        <w:jc w:val="both"/>
      </w:pPr>
      <w:r w:rsidRPr="00F47DDD">
        <w:t xml:space="preserve">Therefore, </w:t>
      </w:r>
      <w:r w:rsidRPr="00F47DDD">
        <w:rPr>
          <w:b/>
          <w:bCs/>
        </w:rPr>
        <w:t>NOTICE</w:t>
      </w:r>
      <w:r w:rsidRPr="00F47DDD">
        <w:t xml:space="preserve"> is given by the NMPRC of the following:</w:t>
      </w:r>
    </w:p>
    <w:p w14:paraId="58587898" w14:textId="77777777" w:rsidR="00830A03" w:rsidRDefault="00CA0166" w:rsidP="003B16C5">
      <w:pPr>
        <w:numPr>
          <w:ilvl w:val="0"/>
          <w:numId w:val="34"/>
        </w:numPr>
        <w:spacing w:line="480" w:lineRule="auto"/>
        <w:ind w:left="0" w:firstLine="720"/>
        <w:contextualSpacing/>
        <w:jc w:val="both"/>
      </w:pPr>
      <w:r>
        <w:t xml:space="preserve">In accordance with Section </w:t>
      </w:r>
      <w:r w:rsidR="007F4846" w:rsidRPr="00C80F34">
        <w:t>62-9-7 of the New Mexico Public Utility Act (“PUA”)</w:t>
      </w:r>
      <w:r w:rsidR="004343D8">
        <w:t xml:space="preserve"> and 1.2.2.24 NMAC</w:t>
      </w:r>
      <w:r w:rsidR="007F4846" w:rsidRPr="00C80F34">
        <w:t xml:space="preserve">, </w:t>
      </w:r>
      <w:r w:rsidR="004343D8">
        <w:t xml:space="preserve">on September 19, </w:t>
      </w:r>
      <w:r w:rsidR="009A65ED">
        <w:t>2024,</w:t>
      </w:r>
      <w:r w:rsidR="00830A03">
        <w:t xml:space="preserve"> </w:t>
      </w:r>
      <w:r w:rsidR="007F4846" w:rsidRPr="00C80F34">
        <w:t xml:space="preserve">RCEC and </w:t>
      </w:r>
      <w:r w:rsidR="00830A03">
        <w:t xml:space="preserve">SPS </w:t>
      </w:r>
      <w:r w:rsidR="00BC03FB">
        <w:t>filed a Joint Application and supporting</w:t>
      </w:r>
      <w:r w:rsidR="00070B90">
        <w:t xml:space="preserve"> direct testimony with the Commission requesting the Commission enter a </w:t>
      </w:r>
      <w:r w:rsidR="00655544">
        <w:t>f</w:t>
      </w:r>
      <w:r w:rsidR="00070B90">
        <w:t xml:space="preserve">inal </w:t>
      </w:r>
      <w:r w:rsidR="00655544">
        <w:t>o</w:t>
      </w:r>
      <w:r w:rsidR="005650E0">
        <w:t xml:space="preserve">rder approving the </w:t>
      </w:r>
      <w:r w:rsidR="00BE356F">
        <w:t>Amended Service Agreement</w:t>
      </w:r>
      <w:r w:rsidR="005650E0">
        <w:t xml:space="preserve"> entered into by RCEC and SPS on </w:t>
      </w:r>
      <w:r w:rsidR="009A65ED">
        <w:t>September 19, 2024.</w:t>
      </w:r>
      <w:r w:rsidR="00830A03">
        <w:t xml:space="preserve"> </w:t>
      </w:r>
      <w:r w:rsidR="00BE356F" w:rsidRPr="00681505">
        <w:t xml:space="preserve">The Amended Service Agreement adjusts SPS’s service area boundaries from an existing </w:t>
      </w:r>
      <w:r w:rsidR="00BE356F" w:rsidRPr="00681505">
        <w:lastRenderedPageBreak/>
        <w:t>Service Agreement between RCEC and SPS dated June 28, 1995, and approved by the Commission on March 18, 1996.</w:t>
      </w:r>
    </w:p>
    <w:p w14:paraId="4A180453" w14:textId="2DACC6EF" w:rsidR="00BE356F" w:rsidRPr="00E44A68" w:rsidRDefault="00BE356F" w:rsidP="00830A03">
      <w:pPr>
        <w:spacing w:line="480" w:lineRule="auto"/>
        <w:ind w:firstLine="720"/>
        <w:contextualSpacing/>
        <w:jc w:val="both"/>
      </w:pPr>
      <w:r w:rsidRPr="00681505">
        <w:t>Specifically, the Amended Service Agreement adjusts SPS’s existing service area boundaries around Portales by adding to RCEC’s service territory some undeveloped land currently located around the outer edge of SPS’s existing boundary</w:t>
      </w:r>
      <w:r>
        <w:t xml:space="preserve"> </w:t>
      </w:r>
      <w:r w:rsidRPr="00681505">
        <w:t>on the outskirts of Portales and adjusts SPS’s existing service area boundaries in Roosevelt County near State Highway 202 between US Route 70 and the Texas state line by adding to RCEC’s service territory some undeveloped land currently located around the outer edge of SPS’s existing boundary.</w:t>
      </w:r>
    </w:p>
    <w:p w14:paraId="5903BCD7" w14:textId="77777777" w:rsidR="00BE356F" w:rsidRDefault="00BE356F" w:rsidP="00BE356F">
      <w:pPr>
        <w:spacing w:line="480" w:lineRule="auto"/>
        <w:ind w:firstLine="720"/>
        <w:jc w:val="both"/>
      </w:pPr>
      <w:r>
        <w:t>2.</w:t>
      </w:r>
      <w:r>
        <w:tab/>
      </w:r>
      <w:r w:rsidR="00CC6FEC">
        <w:t xml:space="preserve">The </w:t>
      </w:r>
      <w:r>
        <w:t>C</w:t>
      </w:r>
      <w:r w:rsidR="00CC6FEC">
        <w:t>ommission has assigned Case No. 24-00251-UT to this Joint Application, and all correspondence, pleadings, comments, and other communications shall refer to that case number.</w:t>
      </w:r>
    </w:p>
    <w:p w14:paraId="40DF6A3F" w14:textId="6A3C16EC" w:rsidR="00BE356F" w:rsidRPr="00BE356F" w:rsidRDefault="00BE356F" w:rsidP="00BE356F">
      <w:pPr>
        <w:spacing w:line="480" w:lineRule="auto"/>
        <w:ind w:firstLine="720"/>
        <w:jc w:val="both"/>
      </w:pPr>
      <w:r w:rsidRPr="00847620">
        <w:t>3.</w:t>
      </w:r>
      <w:r w:rsidRPr="00847620">
        <w:tab/>
        <w:t>By order issued on October 17, 2024, the Hearing Examiner established the</w:t>
      </w:r>
      <w:r w:rsidRPr="00BE356F">
        <w:t xml:space="preserve"> following procedural schedule and requirements for this case:</w:t>
      </w:r>
    </w:p>
    <w:p w14:paraId="55FBCD66" w14:textId="58130255" w:rsidR="00BE356F" w:rsidRPr="00AF4300" w:rsidRDefault="00BE356F" w:rsidP="00BE356F">
      <w:pPr>
        <w:pStyle w:val="ListParagraph"/>
        <w:numPr>
          <w:ilvl w:val="1"/>
          <w:numId w:val="34"/>
        </w:numPr>
        <w:overflowPunct/>
        <w:autoSpaceDE/>
        <w:autoSpaceDN/>
        <w:adjustRightInd/>
        <w:spacing w:after="120" w:line="360" w:lineRule="auto"/>
        <w:ind w:left="1440" w:hanging="720"/>
        <w:contextualSpacing w:val="0"/>
        <w:jc w:val="both"/>
        <w:textAlignment w:val="auto"/>
        <w:rPr>
          <w:sz w:val="24"/>
          <w:szCs w:val="24"/>
        </w:rPr>
      </w:pPr>
      <w:r>
        <w:rPr>
          <w:sz w:val="24"/>
          <w:szCs w:val="24"/>
        </w:rPr>
        <w:t>O</w:t>
      </w:r>
      <w:r w:rsidRPr="00AF4300">
        <w:rPr>
          <w:sz w:val="24"/>
          <w:szCs w:val="24"/>
        </w:rPr>
        <w:t xml:space="preserve">n or before </w:t>
      </w:r>
      <w:r>
        <w:rPr>
          <w:sz w:val="24"/>
          <w:szCs w:val="24"/>
        </w:rPr>
        <w:t>November 25</w:t>
      </w:r>
      <w:r w:rsidRPr="00AF4300">
        <w:rPr>
          <w:sz w:val="24"/>
          <w:szCs w:val="24"/>
        </w:rPr>
        <w:t>, 202</w:t>
      </w:r>
      <w:r>
        <w:rPr>
          <w:sz w:val="24"/>
          <w:szCs w:val="24"/>
        </w:rPr>
        <w:t>4, a</w:t>
      </w:r>
      <w:r w:rsidRPr="00AF4300">
        <w:rPr>
          <w:sz w:val="24"/>
          <w:szCs w:val="24"/>
        </w:rPr>
        <w:t>ny</w:t>
      </w:r>
      <w:r>
        <w:rPr>
          <w:sz w:val="24"/>
          <w:szCs w:val="24"/>
        </w:rPr>
        <w:t xml:space="preserve">one </w:t>
      </w:r>
      <w:r w:rsidRPr="00AF4300">
        <w:rPr>
          <w:sz w:val="24"/>
          <w:szCs w:val="24"/>
        </w:rPr>
        <w:t>desiring to become a party to this case must file a Motion for Leave to Intervene in conformity with Rules 1.2.2.23(A) and 1.2.2.23(B) NMAC</w:t>
      </w:r>
      <w:r w:rsidRPr="00013FC5">
        <w:rPr>
          <w:sz w:val="24"/>
          <w:szCs w:val="24"/>
        </w:rPr>
        <w:t xml:space="preserve"> </w:t>
      </w:r>
      <w:r w:rsidRPr="00AF4300">
        <w:rPr>
          <w:sz w:val="24"/>
          <w:szCs w:val="24"/>
        </w:rPr>
        <w:t xml:space="preserve">with the Commission’s </w:t>
      </w:r>
      <w:r>
        <w:rPr>
          <w:sz w:val="24"/>
          <w:szCs w:val="24"/>
        </w:rPr>
        <w:t>R</w:t>
      </w:r>
      <w:r w:rsidRPr="00AF4300">
        <w:rPr>
          <w:sz w:val="24"/>
          <w:szCs w:val="24"/>
        </w:rPr>
        <w:t xml:space="preserve">ecords </w:t>
      </w:r>
      <w:r>
        <w:rPr>
          <w:sz w:val="24"/>
          <w:szCs w:val="24"/>
        </w:rPr>
        <w:t>Division</w:t>
      </w:r>
      <w:r w:rsidRPr="00AF4300">
        <w:rPr>
          <w:sz w:val="24"/>
          <w:szCs w:val="24"/>
        </w:rPr>
        <w:t xml:space="preserve"> at </w:t>
      </w:r>
      <w:r w:rsidRPr="00AF4300">
        <w:rPr>
          <w:sz w:val="24"/>
          <w:szCs w:val="24"/>
          <w:u w:val="single"/>
        </w:rPr>
        <w:t>prc.</w:t>
      </w:r>
      <w:r w:rsidRPr="00847620">
        <w:rPr>
          <w:sz w:val="24"/>
          <w:szCs w:val="24"/>
          <w:u w:val="single"/>
        </w:rPr>
        <w:t>records</w:t>
      </w:r>
      <w:r w:rsidRPr="00AF4300">
        <w:rPr>
          <w:sz w:val="24"/>
          <w:szCs w:val="24"/>
          <w:u w:val="single"/>
        </w:rPr>
        <w:t>@</w:t>
      </w:r>
      <w:r>
        <w:rPr>
          <w:sz w:val="24"/>
          <w:szCs w:val="24"/>
          <w:u w:val="single"/>
        </w:rPr>
        <w:t>prc</w:t>
      </w:r>
      <w:r w:rsidRPr="00AF4300">
        <w:rPr>
          <w:sz w:val="24"/>
          <w:szCs w:val="24"/>
          <w:u w:val="single"/>
        </w:rPr>
        <w:t>.nm.</w:t>
      </w:r>
      <w:r>
        <w:rPr>
          <w:sz w:val="24"/>
          <w:szCs w:val="24"/>
          <w:u w:val="single"/>
        </w:rPr>
        <w:t>gov</w:t>
      </w:r>
      <w:r w:rsidRPr="00AF4300">
        <w:rPr>
          <w:sz w:val="24"/>
          <w:szCs w:val="24"/>
        </w:rPr>
        <w:t xml:space="preserve">. All motions for leave to intervene shall be served on all existing parties and other proposed intervenors of record. </w:t>
      </w:r>
    </w:p>
    <w:p w14:paraId="3803AC14" w14:textId="711526DC" w:rsidR="00BE356F" w:rsidRPr="00AF4300" w:rsidRDefault="00BE356F" w:rsidP="00BE356F">
      <w:pPr>
        <w:pStyle w:val="ListParagraph"/>
        <w:numPr>
          <w:ilvl w:val="1"/>
          <w:numId w:val="34"/>
        </w:numPr>
        <w:overflowPunct/>
        <w:autoSpaceDE/>
        <w:autoSpaceDN/>
        <w:adjustRightInd/>
        <w:spacing w:after="120" w:line="360" w:lineRule="auto"/>
        <w:ind w:left="1440" w:hanging="720"/>
        <w:contextualSpacing w:val="0"/>
        <w:jc w:val="both"/>
        <w:textAlignment w:val="auto"/>
        <w:rPr>
          <w:sz w:val="24"/>
          <w:szCs w:val="24"/>
        </w:rPr>
      </w:pPr>
      <w:r w:rsidRPr="00AF4300">
        <w:rPr>
          <w:sz w:val="24"/>
          <w:szCs w:val="24"/>
        </w:rPr>
        <w:t xml:space="preserve">The Commission’s Utility Division Staff shall, and any intervenors may, file direct testimony on or before </w:t>
      </w:r>
      <w:r>
        <w:rPr>
          <w:sz w:val="24"/>
          <w:szCs w:val="24"/>
        </w:rPr>
        <w:t>December 13</w:t>
      </w:r>
      <w:r w:rsidRPr="00AF4300">
        <w:rPr>
          <w:sz w:val="24"/>
          <w:szCs w:val="24"/>
        </w:rPr>
        <w:t>, 202</w:t>
      </w:r>
      <w:r>
        <w:rPr>
          <w:sz w:val="24"/>
          <w:szCs w:val="24"/>
        </w:rPr>
        <w:t>4</w:t>
      </w:r>
      <w:r w:rsidRPr="00AF4300">
        <w:rPr>
          <w:sz w:val="24"/>
          <w:szCs w:val="24"/>
        </w:rPr>
        <w:t>.</w:t>
      </w:r>
    </w:p>
    <w:p w14:paraId="7FED55ED" w14:textId="5ED44D16" w:rsidR="00BE356F" w:rsidRPr="00AF4300" w:rsidRDefault="00BE356F" w:rsidP="00BE356F">
      <w:pPr>
        <w:pStyle w:val="ListParagraph"/>
        <w:numPr>
          <w:ilvl w:val="1"/>
          <w:numId w:val="34"/>
        </w:numPr>
        <w:overflowPunct/>
        <w:autoSpaceDE/>
        <w:autoSpaceDN/>
        <w:adjustRightInd/>
        <w:spacing w:after="120" w:line="360" w:lineRule="auto"/>
        <w:ind w:left="1440" w:hanging="720"/>
        <w:contextualSpacing w:val="0"/>
        <w:jc w:val="both"/>
        <w:textAlignment w:val="auto"/>
        <w:rPr>
          <w:sz w:val="24"/>
          <w:szCs w:val="24"/>
        </w:rPr>
      </w:pPr>
      <w:r w:rsidRPr="00AF4300">
        <w:rPr>
          <w:sz w:val="24"/>
          <w:szCs w:val="24"/>
        </w:rPr>
        <w:t xml:space="preserve">Rebuttal testimony may be filed on or before </w:t>
      </w:r>
      <w:r>
        <w:rPr>
          <w:sz w:val="24"/>
          <w:szCs w:val="24"/>
        </w:rPr>
        <w:t>December 20</w:t>
      </w:r>
      <w:r w:rsidRPr="00AF4300">
        <w:rPr>
          <w:sz w:val="24"/>
          <w:szCs w:val="24"/>
        </w:rPr>
        <w:t>, 202</w:t>
      </w:r>
      <w:r>
        <w:rPr>
          <w:sz w:val="24"/>
          <w:szCs w:val="24"/>
        </w:rPr>
        <w:t>4</w:t>
      </w:r>
      <w:r w:rsidRPr="00AF4300">
        <w:rPr>
          <w:sz w:val="24"/>
          <w:szCs w:val="24"/>
        </w:rPr>
        <w:t>.</w:t>
      </w:r>
    </w:p>
    <w:p w14:paraId="4F065D0F" w14:textId="7FE26A10" w:rsidR="00BE356F" w:rsidRPr="00AF4300" w:rsidRDefault="00BE356F" w:rsidP="00BE356F">
      <w:pPr>
        <w:pStyle w:val="ListParagraph"/>
        <w:numPr>
          <w:ilvl w:val="1"/>
          <w:numId w:val="34"/>
        </w:numPr>
        <w:overflowPunct/>
        <w:autoSpaceDE/>
        <w:autoSpaceDN/>
        <w:adjustRightInd/>
        <w:spacing w:after="120" w:line="360" w:lineRule="auto"/>
        <w:ind w:left="1440" w:hanging="720"/>
        <w:contextualSpacing w:val="0"/>
        <w:jc w:val="both"/>
        <w:textAlignment w:val="auto"/>
        <w:rPr>
          <w:sz w:val="24"/>
          <w:szCs w:val="24"/>
        </w:rPr>
      </w:pPr>
      <w:r w:rsidRPr="00AF4300">
        <w:rPr>
          <w:sz w:val="24"/>
          <w:szCs w:val="24"/>
        </w:rPr>
        <w:t xml:space="preserve">A public hearing will be held, if necessary, beginning </w:t>
      </w:r>
      <w:r w:rsidR="008E2382">
        <w:rPr>
          <w:sz w:val="24"/>
          <w:szCs w:val="24"/>
        </w:rPr>
        <w:t xml:space="preserve">at 9:30 </w:t>
      </w:r>
      <w:r w:rsidR="00847620">
        <w:rPr>
          <w:sz w:val="24"/>
          <w:szCs w:val="24"/>
        </w:rPr>
        <w:t>a</w:t>
      </w:r>
      <w:r w:rsidR="008E2382">
        <w:rPr>
          <w:sz w:val="24"/>
          <w:szCs w:val="24"/>
        </w:rPr>
        <w:t>.</w:t>
      </w:r>
      <w:r w:rsidR="00847620">
        <w:rPr>
          <w:sz w:val="24"/>
          <w:szCs w:val="24"/>
        </w:rPr>
        <w:t>m.</w:t>
      </w:r>
      <w:r w:rsidR="008E2382">
        <w:rPr>
          <w:sz w:val="24"/>
          <w:szCs w:val="24"/>
        </w:rPr>
        <w:t xml:space="preserve"> </w:t>
      </w:r>
      <w:r w:rsidRPr="00AF4300">
        <w:rPr>
          <w:sz w:val="24"/>
          <w:szCs w:val="24"/>
        </w:rPr>
        <w:t xml:space="preserve">on </w:t>
      </w:r>
      <w:r>
        <w:rPr>
          <w:sz w:val="24"/>
          <w:szCs w:val="24"/>
        </w:rPr>
        <w:t xml:space="preserve">January 8, </w:t>
      </w:r>
      <w:r w:rsidRPr="00AF4300">
        <w:rPr>
          <w:sz w:val="24"/>
          <w:szCs w:val="24"/>
        </w:rPr>
        <w:t>202</w:t>
      </w:r>
      <w:r>
        <w:rPr>
          <w:sz w:val="24"/>
          <w:szCs w:val="24"/>
        </w:rPr>
        <w:t>5</w:t>
      </w:r>
      <w:r w:rsidRPr="00AF4300">
        <w:rPr>
          <w:sz w:val="24"/>
          <w:szCs w:val="24"/>
        </w:rPr>
        <w:t xml:space="preserve">, as determined to be necessary by the </w:t>
      </w:r>
      <w:r>
        <w:rPr>
          <w:sz w:val="24"/>
          <w:szCs w:val="24"/>
        </w:rPr>
        <w:t>Hearing Examiner</w:t>
      </w:r>
      <w:r w:rsidRPr="00AF4300">
        <w:rPr>
          <w:sz w:val="24"/>
          <w:szCs w:val="24"/>
        </w:rPr>
        <w:t xml:space="preserve">. </w:t>
      </w:r>
      <w:r w:rsidR="00847620">
        <w:rPr>
          <w:sz w:val="24"/>
          <w:szCs w:val="24"/>
        </w:rPr>
        <w:t xml:space="preserve"> </w:t>
      </w:r>
    </w:p>
    <w:p w14:paraId="3E0BA924" w14:textId="6EFF4B17" w:rsidR="007E23E1" w:rsidRDefault="00BE356F" w:rsidP="00BE356F">
      <w:pPr>
        <w:spacing w:line="480" w:lineRule="auto"/>
        <w:ind w:firstLine="720"/>
        <w:jc w:val="both"/>
      </w:pPr>
      <w:r>
        <w:t>4.</w:t>
      </w:r>
      <w:r>
        <w:tab/>
      </w:r>
      <w:r w:rsidR="007E23E1" w:rsidRPr="00AF4300">
        <w:t xml:space="preserve">Based on present conditions and logistical issues, the </w:t>
      </w:r>
      <w:r w:rsidR="008E2382">
        <w:t>H</w:t>
      </w:r>
      <w:r w:rsidR="008A3FEE">
        <w:t xml:space="preserve">earing </w:t>
      </w:r>
      <w:r w:rsidR="008E2382">
        <w:t>E</w:t>
      </w:r>
      <w:r w:rsidR="008A3FEE">
        <w:t>xaminer</w:t>
      </w:r>
      <w:r w:rsidR="007E23E1" w:rsidRPr="00AF4300">
        <w:t xml:space="preserve"> has concluded that it will be necessary to conduct any public hearing via the Zoom videoconference </w:t>
      </w:r>
      <w:r w:rsidR="007E23E1" w:rsidRPr="00AF4300">
        <w:lastRenderedPageBreak/>
        <w:t xml:space="preserve">platform. Access to and participation in the public hearing shall be limited to party participants (i.e., counsel and witnesses), the Commissioners, and other essential Commission personnel. Any Zoom hearing will be livestreamed through YouTube and will be displayed on the Commission’s website at </w:t>
      </w:r>
      <w:r w:rsidR="007E23E1" w:rsidRPr="00AF4300">
        <w:rPr>
          <w:u w:val="single"/>
        </w:rPr>
        <w:t>https://www.</w:t>
      </w:r>
      <w:r w:rsidR="008E2382">
        <w:rPr>
          <w:u w:val="single"/>
        </w:rPr>
        <w:t>prc.nm.gov</w:t>
      </w:r>
      <w:r w:rsidR="007E23E1" w:rsidRPr="00AF4300">
        <w:t xml:space="preserve">. Persons not participating in the evidentiary hearing as an attorney or witness may view the hearing on the Commission’s website and shall not join the hearing via Zoom except to provide oral comments as allowed in </w:t>
      </w:r>
      <w:r w:rsidR="00655544">
        <w:t xml:space="preserve">the </w:t>
      </w:r>
      <w:r w:rsidR="007E23E1" w:rsidRPr="00AF4300">
        <w:t>paragraph below.</w:t>
      </w:r>
    </w:p>
    <w:p w14:paraId="5048A298" w14:textId="36DEFEFD" w:rsidR="00655544" w:rsidRDefault="008E2382" w:rsidP="00C302E7">
      <w:pPr>
        <w:spacing w:line="480" w:lineRule="auto"/>
        <w:ind w:firstLine="720"/>
        <w:jc w:val="both"/>
      </w:pPr>
      <w:r>
        <w:t>5.</w:t>
      </w:r>
      <w:r>
        <w:tab/>
      </w:r>
      <w:r w:rsidR="00655544" w:rsidRPr="008E2382">
        <w:t xml:space="preserve">Anyone who is not affiliated with a party may make oral or written comment as allowed by Rule 1.2.2.23(F) NMAC. Oral comments shall be taken shortly after the beginning of the evidentiary hearing on </w:t>
      </w:r>
      <w:r>
        <w:t xml:space="preserve">January 8, 2025, </w:t>
      </w:r>
      <w:r w:rsidR="00655544" w:rsidRPr="008E2382">
        <w:t>and</w:t>
      </w:r>
      <w:r w:rsidR="00B9282C" w:rsidRPr="008E2382">
        <w:t xml:space="preserve"> comments</w:t>
      </w:r>
      <w:r w:rsidR="00655544" w:rsidRPr="008E2382">
        <w:t xml:space="preserve"> shall be limited to 3 minutes per </w:t>
      </w:r>
      <w:r w:rsidR="00B9282C" w:rsidRPr="008E2382">
        <w:t>person.</w:t>
      </w:r>
      <w:r w:rsidR="00655544" w:rsidRPr="008E2382">
        <w:t xml:space="preserve"> As part of the public hearing, public comment will be taken via the Zoom platform; therefore, persons wishing to make an oral public comment must register in advance, not later than 8:30 a.m. MT on </w:t>
      </w:r>
      <w:r>
        <w:t>January 8</w:t>
      </w:r>
      <w:r w:rsidR="00655544" w:rsidRPr="008E2382">
        <w:t>, 202</w:t>
      </w:r>
      <w:r w:rsidR="00131423">
        <w:t>5</w:t>
      </w:r>
      <w:r w:rsidR="00655544" w:rsidRPr="008E2382">
        <w:t xml:space="preserve">, by email </w:t>
      </w:r>
      <w:r w:rsidR="00715A9E" w:rsidRPr="008E2382">
        <w:t xml:space="preserve">to </w:t>
      </w:r>
      <w:r w:rsidR="00655544" w:rsidRPr="008E2382">
        <w:rPr>
          <w:u w:val="single"/>
        </w:rPr>
        <w:t>Ana.Kippenbrock@prc.nm.gov</w:t>
      </w:r>
      <w:r w:rsidR="00655544" w:rsidRPr="008E2382">
        <w:t xml:space="preserve">. </w:t>
      </w:r>
      <w:r w:rsidR="00C302E7">
        <w:t>Alternatively, w</w:t>
      </w:r>
      <w:r w:rsidR="00655544" w:rsidRPr="008E2382">
        <w:t>ritten public comments may be submitted before the Commission takes final action</w:t>
      </w:r>
      <w:r w:rsidR="00C302E7">
        <w:t xml:space="preserve">. Those comments </w:t>
      </w:r>
      <w:r w:rsidR="00655544" w:rsidRPr="008E2382">
        <w:t>shall reference PRC Case No. 24-0025</w:t>
      </w:r>
      <w:r w:rsidR="00830A03">
        <w:t>1</w:t>
      </w:r>
      <w:r w:rsidR="00655544" w:rsidRPr="008E2382">
        <w:t>-UT</w:t>
      </w:r>
      <w:r w:rsidR="00C302E7">
        <w:t xml:space="preserve"> and be sent via email </w:t>
      </w:r>
      <w:r w:rsidR="00655544" w:rsidRPr="008E2382">
        <w:t xml:space="preserve">to </w:t>
      </w:r>
      <w:r w:rsidR="00655544" w:rsidRPr="00847620">
        <w:rPr>
          <w:b/>
          <w:bCs/>
          <w:u w:val="single"/>
        </w:rPr>
        <w:t>prc.records@prc.nm.gov</w:t>
      </w:r>
      <w:r w:rsidR="00655544" w:rsidRPr="008E2382">
        <w:t xml:space="preserve">. Public comments, whether oral or written, shall not be considered as evidence. </w:t>
      </w:r>
    </w:p>
    <w:p w14:paraId="04688033" w14:textId="6F978184" w:rsidR="00C302E7" w:rsidRDefault="00C302E7" w:rsidP="00C302E7">
      <w:pPr>
        <w:spacing w:line="480" w:lineRule="auto"/>
        <w:ind w:firstLine="720"/>
        <w:contextualSpacing/>
        <w:jc w:val="both"/>
      </w:pPr>
      <w:r>
        <w:t>6.</w:t>
      </w:r>
      <w:r>
        <w:tab/>
      </w:r>
      <w:r w:rsidR="007E23E1" w:rsidRPr="00AF4300">
        <w:t xml:space="preserve">The Commission’s Rules of Procedure (Rule 1.2.2 NMAC) apply except as modified by order of the Commission or </w:t>
      </w:r>
      <w:r>
        <w:t>H</w:t>
      </w:r>
      <w:r w:rsidR="008A3FEE">
        <w:t xml:space="preserve">earing </w:t>
      </w:r>
      <w:r>
        <w:t>E</w:t>
      </w:r>
      <w:r w:rsidR="008A3FEE">
        <w:t>xaminer</w:t>
      </w:r>
      <w:r w:rsidR="007E23E1" w:rsidRPr="00AF4300">
        <w:t xml:space="preserve">. </w:t>
      </w:r>
      <w:r w:rsidR="00847620">
        <w:t>S</w:t>
      </w:r>
      <w:r w:rsidR="007E23E1" w:rsidRPr="00AF4300">
        <w:t xml:space="preserve">uch </w:t>
      </w:r>
      <w:r w:rsidR="00847620">
        <w:t>rules are</w:t>
      </w:r>
      <w:r w:rsidR="00615CE1">
        <w:t xml:space="preserve"> </w:t>
      </w:r>
      <w:r w:rsidR="007E23E1" w:rsidRPr="00AF4300">
        <w:t>available online at the</w:t>
      </w:r>
      <w:r>
        <w:t xml:space="preserve"> New Mexico Compilation Commission at </w:t>
      </w:r>
      <w:r w:rsidR="007E23E1" w:rsidRPr="00AF4300">
        <w:t xml:space="preserve"> </w:t>
      </w:r>
      <w:hyperlink r:id="rId8" w:history="1">
        <w:r w:rsidRPr="005A57EA">
          <w:rPr>
            <w:rStyle w:val="Hyperlink"/>
          </w:rPr>
          <w:t>https://nmonesource.com/nmos/en/nav.do</w:t>
        </w:r>
      </w:hyperlink>
      <w:r>
        <w:t xml:space="preserve">. </w:t>
      </w:r>
    </w:p>
    <w:p w14:paraId="4B1774F1" w14:textId="6A99D7AC" w:rsidR="007E23E1" w:rsidRPr="00AF4300" w:rsidRDefault="00C302E7" w:rsidP="00C302E7">
      <w:pPr>
        <w:spacing w:line="480" w:lineRule="auto"/>
        <w:ind w:firstLine="720"/>
        <w:contextualSpacing/>
        <w:jc w:val="both"/>
        <w:rPr>
          <w:b/>
        </w:rPr>
      </w:pPr>
      <w:r>
        <w:t>7.</w:t>
      </w:r>
      <w:r>
        <w:tab/>
      </w:r>
      <w:r w:rsidR="00145341">
        <w:t xml:space="preserve">The Joint </w:t>
      </w:r>
      <w:r w:rsidRPr="00AF4300">
        <w:t>Application</w:t>
      </w:r>
      <w:r w:rsidR="007E23E1" w:rsidRPr="00AF4300">
        <w:t xml:space="preserve"> with supporting pre-filed direct testimony, </w:t>
      </w:r>
      <w:r w:rsidR="007E0F20">
        <w:t>attachments</w:t>
      </w:r>
      <w:r w:rsidR="007E23E1" w:rsidRPr="00AF4300">
        <w:t>, and related papers</w:t>
      </w:r>
      <w:r w:rsidR="00D573B7">
        <w:t xml:space="preserve"> </w:t>
      </w:r>
      <w:r w:rsidR="007E23E1" w:rsidRPr="00AF4300">
        <w:t>may be examined online at the Commission’s website at</w:t>
      </w:r>
      <w:r w:rsidR="00D573B7">
        <w:t xml:space="preserve"> </w:t>
      </w:r>
      <w:r w:rsidR="00615CE1">
        <w:t xml:space="preserve"> </w:t>
      </w:r>
      <w:hyperlink r:id="rId9" w:history="1">
        <w:r w:rsidR="00D573B7" w:rsidRPr="005D2E12">
          <w:rPr>
            <w:b/>
            <w:bCs/>
          </w:rPr>
          <w:t>https://www.prc.nm.gov/case-lookup-e-docket/</w:t>
        </w:r>
      </w:hyperlink>
      <w:r w:rsidR="00D573B7">
        <w:t>,</w:t>
      </w:r>
      <w:r w:rsidR="00D573B7" w:rsidRPr="00D573B7">
        <w:t xml:space="preserve"> RCEC’s website </w:t>
      </w:r>
      <w:r w:rsidR="00D573B7" w:rsidRPr="005D2E12">
        <w:rPr>
          <w:b/>
          <w:bCs/>
        </w:rPr>
        <w:t>https://www.rcec.coop/</w:t>
      </w:r>
      <w:r w:rsidR="00D573B7">
        <w:t>, and</w:t>
      </w:r>
      <w:r w:rsidR="00D573B7" w:rsidRPr="00D573B7">
        <w:t xml:space="preserve"> </w:t>
      </w:r>
      <w:r w:rsidR="00D573B7">
        <w:t xml:space="preserve">  SPS’s website at</w:t>
      </w:r>
      <w:r w:rsidR="00D573B7" w:rsidRPr="00AF4300">
        <w:t xml:space="preserve"> </w:t>
      </w:r>
      <w:r w:rsidR="00D573B7" w:rsidRPr="005D2E12">
        <w:rPr>
          <w:b/>
          <w:bCs/>
        </w:rPr>
        <w:t>https://www.xcelenergy.com/company/rates_and_regulations/filings</w:t>
      </w:r>
      <w:r w:rsidR="00D573B7" w:rsidRPr="00D573B7">
        <w:t>;</w:t>
      </w:r>
      <w:r w:rsidR="00D573B7" w:rsidRPr="00D573B7">
        <w:rPr>
          <w:rStyle w:val="Hyperlink"/>
          <w:u w:val="none"/>
        </w:rPr>
        <w:t xml:space="preserve"> </w:t>
      </w:r>
      <w:r w:rsidR="00615CE1">
        <w:t xml:space="preserve">or </w:t>
      </w:r>
      <w:r w:rsidR="007E23E1" w:rsidRPr="00AF4300">
        <w:t xml:space="preserve">in person at the offices of </w:t>
      </w:r>
      <w:r w:rsidR="0045678A">
        <w:t>RCEC</w:t>
      </w:r>
      <w:r w:rsidR="007E23E1" w:rsidRPr="00AF4300">
        <w:t xml:space="preserve"> </w:t>
      </w:r>
      <w:r w:rsidR="005D2E12">
        <w:t xml:space="preserve">and SPS </w:t>
      </w:r>
      <w:r w:rsidR="007E23E1" w:rsidRPr="00AF4300">
        <w:t>at the addresses</w:t>
      </w:r>
      <w:r>
        <w:t xml:space="preserve"> below</w:t>
      </w:r>
      <w:r w:rsidR="007E23E1" w:rsidRPr="00AF4300">
        <w:t>, or by calling SPS at 1-800-895-</w:t>
      </w:r>
      <w:r w:rsidR="007E23E1" w:rsidRPr="00AF4300">
        <w:lastRenderedPageBreak/>
        <w:t>4999 during normal business hours</w:t>
      </w:r>
      <w:r w:rsidR="00615CE1">
        <w:t xml:space="preserve"> </w:t>
      </w:r>
      <w:r w:rsidR="007E23E1" w:rsidRPr="00AF4300">
        <w:t>. All inquiries or written comments should reference Case No. 2</w:t>
      </w:r>
      <w:r w:rsidR="007E23E1">
        <w:t>4</w:t>
      </w:r>
      <w:r w:rsidR="007E23E1" w:rsidRPr="00AF4300">
        <w:t>-</w:t>
      </w:r>
      <w:r w:rsidR="007B4015">
        <w:t>00251-</w:t>
      </w:r>
      <w:r w:rsidR="007E23E1" w:rsidRPr="00AF4300">
        <w:t>UT.</w:t>
      </w:r>
    </w:p>
    <w:tbl>
      <w:tblPr>
        <w:tblW w:w="0" w:type="auto"/>
        <w:tblInd w:w="1188" w:type="dxa"/>
        <w:tblLook w:val="04A0" w:firstRow="1" w:lastRow="0" w:firstColumn="1" w:lastColumn="0" w:noHBand="0" w:noVBand="1"/>
      </w:tblPr>
      <w:tblGrid>
        <w:gridCol w:w="7668"/>
      </w:tblGrid>
      <w:tr w:rsidR="007E23E1" w:rsidRPr="00076F11" w14:paraId="412B7A76" w14:textId="77777777" w:rsidTr="00F8031F">
        <w:tc>
          <w:tcPr>
            <w:tcW w:w="7668" w:type="dxa"/>
            <w:shd w:val="clear" w:color="auto" w:fill="auto"/>
          </w:tcPr>
          <w:p w14:paraId="34C4BED3" w14:textId="3F9B81AC" w:rsidR="00EA724F" w:rsidRDefault="00070977" w:rsidP="003F5734">
            <w:pPr>
              <w:contextualSpacing/>
            </w:pPr>
            <w:r>
              <w:t>Eric Segovia</w:t>
            </w:r>
          </w:p>
          <w:p w14:paraId="37019493" w14:textId="09EF19FD" w:rsidR="007E23E1" w:rsidRDefault="001E2A24" w:rsidP="003F5734">
            <w:pPr>
              <w:contextualSpacing/>
            </w:pPr>
            <w:r>
              <w:t>Roosevelt County Electric Cooperative, Inc.</w:t>
            </w:r>
          </w:p>
          <w:p w14:paraId="25F2B105" w14:textId="61D3440A" w:rsidR="009C392E" w:rsidRDefault="00830A03" w:rsidP="003F5734">
            <w:pPr>
              <w:contextualSpacing/>
            </w:pPr>
            <w:r>
              <w:t>1</w:t>
            </w:r>
            <w:r w:rsidR="009C392E">
              <w:t>21 N. Main Street</w:t>
            </w:r>
          </w:p>
          <w:p w14:paraId="66C526D3" w14:textId="77777777" w:rsidR="001E2A24" w:rsidRDefault="009C392E" w:rsidP="003F5734">
            <w:pPr>
              <w:contextualSpacing/>
            </w:pPr>
            <w:r>
              <w:t>Portales, NM 88130</w:t>
            </w:r>
          </w:p>
          <w:p w14:paraId="167157AE" w14:textId="4584046B" w:rsidR="00830A03" w:rsidRDefault="00830A03" w:rsidP="003F5734">
            <w:pPr>
              <w:contextualSpacing/>
            </w:pPr>
            <w:r>
              <w:t>575-356-4491</w:t>
            </w:r>
          </w:p>
          <w:p w14:paraId="7077DB78" w14:textId="77D071B0" w:rsidR="00070977" w:rsidRPr="00076F11" w:rsidRDefault="00070977" w:rsidP="003F5734">
            <w:pPr>
              <w:contextualSpacing/>
            </w:pPr>
          </w:p>
        </w:tc>
      </w:tr>
      <w:tr w:rsidR="0045678A" w:rsidRPr="00076F11" w14:paraId="6BB5FDBE" w14:textId="77777777" w:rsidTr="00F8031F">
        <w:tc>
          <w:tcPr>
            <w:tcW w:w="7668" w:type="dxa"/>
            <w:shd w:val="clear" w:color="auto" w:fill="auto"/>
          </w:tcPr>
          <w:p w14:paraId="34F4982C" w14:textId="77777777" w:rsidR="003F5734" w:rsidRPr="00076F11" w:rsidRDefault="003F5734" w:rsidP="003F5734">
            <w:pPr>
              <w:contextualSpacing/>
            </w:pPr>
            <w:r w:rsidRPr="00076F11">
              <w:t>Mike McLeod, Manager Community Relations</w:t>
            </w:r>
          </w:p>
          <w:p w14:paraId="267EAF25" w14:textId="77777777" w:rsidR="003F5734" w:rsidRPr="00076F11" w:rsidRDefault="003F5734" w:rsidP="003F5734">
            <w:pPr>
              <w:contextualSpacing/>
            </w:pPr>
            <w:r w:rsidRPr="00076F11">
              <w:t>Southwestern Public Service Company</w:t>
            </w:r>
          </w:p>
          <w:p w14:paraId="6511EC24" w14:textId="77777777" w:rsidR="003F5734" w:rsidRPr="00076F11" w:rsidRDefault="003F5734" w:rsidP="003F5734">
            <w:pPr>
              <w:contextualSpacing/>
            </w:pPr>
            <w:r w:rsidRPr="00076F11">
              <w:t>111 E. Fifth Street</w:t>
            </w:r>
          </w:p>
          <w:p w14:paraId="7B9D08C7" w14:textId="77777777" w:rsidR="003F5734" w:rsidRPr="00076F11" w:rsidRDefault="003F5734" w:rsidP="003F5734">
            <w:pPr>
              <w:contextualSpacing/>
            </w:pPr>
            <w:r w:rsidRPr="00076F11">
              <w:t>Post Office Box 1937</w:t>
            </w:r>
          </w:p>
          <w:p w14:paraId="5266A31E" w14:textId="77777777" w:rsidR="003F5734" w:rsidRPr="00076F11" w:rsidRDefault="003F5734" w:rsidP="003F5734">
            <w:pPr>
              <w:contextualSpacing/>
            </w:pPr>
            <w:r w:rsidRPr="00076F11">
              <w:t>Roswell, New Mexico 88201</w:t>
            </w:r>
          </w:p>
          <w:p w14:paraId="7E67B5CA" w14:textId="4E53A255" w:rsidR="0045678A" w:rsidRPr="00076F11" w:rsidRDefault="003F5734" w:rsidP="00C302E7">
            <w:pPr>
              <w:contextualSpacing/>
            </w:pPr>
            <w:r w:rsidRPr="00076F11">
              <w:t>(577) 625-5499 or 1-800-895-4999</w:t>
            </w:r>
          </w:p>
        </w:tc>
      </w:tr>
      <w:tr w:rsidR="007E23E1" w:rsidRPr="00076F11" w14:paraId="6224F017" w14:textId="77777777" w:rsidTr="00F8031F">
        <w:tc>
          <w:tcPr>
            <w:tcW w:w="7668" w:type="dxa"/>
            <w:shd w:val="clear" w:color="auto" w:fill="auto"/>
          </w:tcPr>
          <w:p w14:paraId="7A8F2FAD" w14:textId="7C7B36F7" w:rsidR="007E23E1" w:rsidRPr="00C34BA7" w:rsidRDefault="007E23E1" w:rsidP="00F8031F">
            <w:pPr>
              <w:contextualSpacing/>
              <w:rPr>
                <w:strike/>
                <w:highlight w:val="yellow"/>
              </w:rPr>
            </w:pPr>
          </w:p>
        </w:tc>
      </w:tr>
    </w:tbl>
    <w:p w14:paraId="3E1B8017" w14:textId="77777777" w:rsidR="007E23E1" w:rsidRPr="00076F11" w:rsidRDefault="007E23E1" w:rsidP="007E23E1">
      <w:pPr>
        <w:contextualSpacing/>
      </w:pPr>
    </w:p>
    <w:p w14:paraId="400DD51C" w14:textId="5FFC75D4" w:rsidR="007E23E1" w:rsidRPr="00C302E7" w:rsidRDefault="00C302E7" w:rsidP="00B846E1">
      <w:pPr>
        <w:spacing w:after="120" w:line="480" w:lineRule="auto"/>
        <w:ind w:firstLine="720"/>
        <w:contextualSpacing/>
        <w:jc w:val="both"/>
        <w:rPr>
          <w:bCs/>
        </w:rPr>
      </w:pPr>
      <w:r>
        <w:rPr>
          <w:bCs/>
        </w:rPr>
        <w:t>8.</w:t>
      </w:r>
      <w:r>
        <w:rPr>
          <w:bCs/>
        </w:rPr>
        <w:tab/>
      </w:r>
      <w:r w:rsidR="007E23E1" w:rsidRPr="00C302E7">
        <w:rPr>
          <w:bCs/>
        </w:rPr>
        <w:t>Anyone filing pleadings, testimony, or other documents in this case shall</w:t>
      </w:r>
      <w:r w:rsidR="00E241DD">
        <w:rPr>
          <w:bCs/>
        </w:rPr>
        <w:t>:</w:t>
      </w:r>
      <w:r w:rsidR="007E23E1" w:rsidRPr="00C302E7">
        <w:rPr>
          <w:bCs/>
        </w:rPr>
        <w:t xml:space="preserve"> (1) serve copies on all parties of record and the Commission Staff via email on the date they are filed with the Commission</w:t>
      </w:r>
      <w:r w:rsidR="00E241DD">
        <w:rPr>
          <w:bCs/>
        </w:rPr>
        <w:t>,</w:t>
      </w:r>
      <w:r w:rsidR="007E23E1" w:rsidRPr="00C302E7">
        <w:rPr>
          <w:bCs/>
        </w:rPr>
        <w:t xml:space="preserve"> and (2) comply with the Commission’s Electronic Filing Policy, as amended from time to time. The Electronic Filing Policy requires all filings to be made by emailing the filing in PDF format and with electronic signatures to </w:t>
      </w:r>
      <w:r w:rsidR="007E23E1" w:rsidRPr="00E241DD">
        <w:rPr>
          <w:b/>
          <w:u w:val="single"/>
        </w:rPr>
        <w:t>prc.records@prc.nm.gov</w:t>
      </w:r>
      <w:r w:rsidR="007E23E1" w:rsidRPr="00C302E7">
        <w:rPr>
          <w:bCs/>
        </w:rPr>
        <w:t xml:space="preserve"> within the regular business hours of the due date to be considered timely filed. Documents received after regular business hours will be considered filed the next business day. Regular business hours are </w:t>
      </w:r>
      <w:r w:rsidR="00E241DD">
        <w:rPr>
          <w:bCs/>
        </w:rPr>
        <w:t xml:space="preserve">Monday through Friday </w:t>
      </w:r>
      <w:r w:rsidR="007E23E1" w:rsidRPr="00C302E7">
        <w:rPr>
          <w:bCs/>
        </w:rPr>
        <w:t>8:00 a.m.</w:t>
      </w:r>
      <w:r w:rsidR="00E241DD">
        <w:rPr>
          <w:bCs/>
        </w:rPr>
        <w:t xml:space="preserve"> to 5</w:t>
      </w:r>
      <w:r w:rsidR="007E23E1" w:rsidRPr="00C302E7">
        <w:rPr>
          <w:bCs/>
        </w:rPr>
        <w:t xml:space="preserve">:00 p.m. MT. All filings shall also be sent to the </w:t>
      </w:r>
      <w:r w:rsidR="00615CE1">
        <w:rPr>
          <w:bCs/>
        </w:rPr>
        <w:t>H</w:t>
      </w:r>
      <w:r w:rsidR="008A3FEE" w:rsidRPr="00C302E7">
        <w:rPr>
          <w:bCs/>
        </w:rPr>
        <w:t xml:space="preserve">earing </w:t>
      </w:r>
      <w:r w:rsidR="00615CE1">
        <w:rPr>
          <w:bCs/>
        </w:rPr>
        <w:t>E</w:t>
      </w:r>
      <w:r w:rsidR="008A3FEE" w:rsidRPr="00C302E7">
        <w:rPr>
          <w:bCs/>
        </w:rPr>
        <w:t>xaminer</w:t>
      </w:r>
      <w:r w:rsidR="007E23E1" w:rsidRPr="00C302E7">
        <w:rPr>
          <w:bCs/>
        </w:rPr>
        <w:t xml:space="preserve"> at </w:t>
      </w:r>
      <w:r w:rsidR="00C34BA7" w:rsidRPr="00C302E7">
        <w:rPr>
          <w:bCs/>
          <w:u w:val="single"/>
        </w:rPr>
        <w:t>Elizabeth.Hurst@prc.nm.gov</w:t>
      </w:r>
      <w:r w:rsidR="007E23E1" w:rsidRPr="00C302E7">
        <w:rPr>
          <w:bCs/>
        </w:rPr>
        <w:t xml:space="preserve"> and shall include versions created in Microsoft Word or other applicable native formats if available.</w:t>
      </w:r>
    </w:p>
    <w:p w14:paraId="6DB57C72" w14:textId="04DC4C5E" w:rsidR="007E23E1" w:rsidRPr="00C302E7" w:rsidRDefault="00C302E7" w:rsidP="00B846E1">
      <w:pPr>
        <w:spacing w:after="120" w:line="480" w:lineRule="auto"/>
        <w:ind w:firstLine="720"/>
        <w:contextualSpacing/>
        <w:jc w:val="both"/>
      </w:pPr>
      <w:r>
        <w:t>9.</w:t>
      </w:r>
      <w:r>
        <w:tab/>
      </w:r>
      <w:r w:rsidR="007E23E1" w:rsidRPr="00C302E7">
        <w:t xml:space="preserve">The procedural dates and requirements currently set are subject to further order of the Commission or the </w:t>
      </w:r>
      <w:r w:rsidR="00895EE3">
        <w:t>H</w:t>
      </w:r>
      <w:r w:rsidR="008A3FEE" w:rsidRPr="00C302E7">
        <w:t xml:space="preserve">earing </w:t>
      </w:r>
      <w:r w:rsidR="00895EE3">
        <w:t>E</w:t>
      </w:r>
      <w:r w:rsidR="008A3FEE" w:rsidRPr="00C302E7">
        <w:t>xaminer</w:t>
      </w:r>
      <w:r w:rsidR="007E23E1" w:rsidRPr="00C302E7">
        <w:t xml:space="preserve">. Interested persons should contact the Commission at (505) 690-4191 or </w:t>
      </w:r>
      <w:r w:rsidR="00C34BA7" w:rsidRPr="00C302E7">
        <w:t>A</w:t>
      </w:r>
      <w:r w:rsidR="007E23E1" w:rsidRPr="00C302E7">
        <w:rPr>
          <w:u w:val="single"/>
        </w:rPr>
        <w:t>na.</w:t>
      </w:r>
      <w:r w:rsidR="00C34BA7" w:rsidRPr="00C302E7">
        <w:rPr>
          <w:u w:val="single"/>
        </w:rPr>
        <w:t>K</w:t>
      </w:r>
      <w:r w:rsidR="007E23E1" w:rsidRPr="00C302E7">
        <w:rPr>
          <w:u w:val="single"/>
        </w:rPr>
        <w:t>ippenbrock@prc.nm.gov</w:t>
      </w:r>
      <w:r w:rsidR="007E23E1" w:rsidRPr="00C302E7">
        <w:t xml:space="preserve"> for confirmation of the hearing date, time, and </w:t>
      </w:r>
      <w:r w:rsidR="007E23E1" w:rsidRPr="00C302E7">
        <w:lastRenderedPageBreak/>
        <w:t xml:space="preserve">place because hearings are occasionally rescheduled or canceled if deemed not required in the discretion of the </w:t>
      </w:r>
      <w:r w:rsidR="00615CE1">
        <w:t>H</w:t>
      </w:r>
      <w:r w:rsidR="008A3FEE" w:rsidRPr="00C302E7">
        <w:t xml:space="preserve">earing </w:t>
      </w:r>
      <w:r w:rsidR="00615CE1">
        <w:t>E</w:t>
      </w:r>
      <w:r w:rsidR="008A3FEE" w:rsidRPr="00C302E7">
        <w:t>xaminer</w:t>
      </w:r>
      <w:r w:rsidR="007E23E1" w:rsidRPr="00C302E7">
        <w:t xml:space="preserve"> or the Commission.</w:t>
      </w:r>
    </w:p>
    <w:p w14:paraId="6674031E" w14:textId="4FA0862F" w:rsidR="007E23E1" w:rsidRPr="00895EE3" w:rsidRDefault="00895EE3" w:rsidP="00B846E1">
      <w:pPr>
        <w:spacing w:after="120" w:line="480" w:lineRule="auto"/>
        <w:ind w:firstLine="720"/>
        <w:contextualSpacing/>
        <w:jc w:val="both"/>
        <w:rPr>
          <w:b/>
        </w:rPr>
      </w:pPr>
      <w:r>
        <w:t>10.</w:t>
      </w:r>
      <w:r>
        <w:tab/>
      </w:r>
      <w:r w:rsidR="007E23E1" w:rsidRPr="00895EE3">
        <w:t>Any person filing prepared testimony consistent with Rule 1.2.2.35(I) NMAC on behalf of a party shall attend the hearing and submit to examination under oath. No person shall testify at the hearing unless that person has pre-filed testimony.</w:t>
      </w:r>
    </w:p>
    <w:p w14:paraId="0BA890B6" w14:textId="0A81F72B" w:rsidR="007E23E1" w:rsidRPr="00895EE3" w:rsidRDefault="00895EE3" w:rsidP="00B846E1">
      <w:pPr>
        <w:spacing w:after="120" w:line="480" w:lineRule="auto"/>
        <w:ind w:firstLine="720"/>
        <w:contextualSpacing/>
        <w:jc w:val="both"/>
      </w:pPr>
      <w:r>
        <w:t>11.</w:t>
      </w:r>
      <w:r>
        <w:tab/>
      </w:r>
      <w:r w:rsidR="007E23E1" w:rsidRPr="00895EE3">
        <w:t xml:space="preserve">Additional details regarding this proceeding and its procedural requirements are set forth in the </w:t>
      </w:r>
      <w:r>
        <w:t>H</w:t>
      </w:r>
      <w:r w:rsidR="008A3FEE" w:rsidRPr="00895EE3">
        <w:t xml:space="preserve">earing </w:t>
      </w:r>
      <w:r>
        <w:t>E</w:t>
      </w:r>
      <w:r w:rsidR="008A3FEE" w:rsidRPr="00895EE3">
        <w:t>xaminer</w:t>
      </w:r>
      <w:r w:rsidR="007E23E1" w:rsidRPr="00895EE3">
        <w:t xml:space="preserve">’s </w:t>
      </w:r>
      <w:r>
        <w:t>October 17</w:t>
      </w:r>
      <w:r w:rsidR="007E23E1" w:rsidRPr="00895EE3">
        <w:t>, 2024 Procedural Order.</w:t>
      </w:r>
    </w:p>
    <w:p w14:paraId="45C3ADA0" w14:textId="77777777" w:rsidR="00C34BA7" w:rsidRPr="00C626A4" w:rsidRDefault="00C34BA7" w:rsidP="00E241DD">
      <w:pPr>
        <w:pStyle w:val="StyleBodyTextLinespacingMultiple165li"/>
        <w:spacing w:line="480" w:lineRule="auto"/>
        <w:ind w:firstLine="0"/>
        <w:jc w:val="center"/>
        <w:rPr>
          <w:rFonts w:ascii="Times New Roman" w:eastAsia="Times New Roman" w:hAnsi="Times New Roman" w:cs="Times New Roman"/>
          <w:b/>
          <w:bCs/>
          <w:spacing w:val="-2"/>
          <w:kern w:val="10"/>
          <w:sz w:val="24"/>
          <w:szCs w:val="24"/>
          <w:u w:val="single"/>
        </w:rPr>
      </w:pPr>
      <w:r w:rsidRPr="00C626A4">
        <w:rPr>
          <w:rFonts w:ascii="Times New Roman" w:hAnsi="Times New Roman"/>
          <w:b/>
          <w:bCs/>
          <w:spacing w:val="-2"/>
          <w:kern w:val="10"/>
          <w:sz w:val="24"/>
          <w:szCs w:val="24"/>
          <w:u w:val="single"/>
        </w:rPr>
        <w:t>PERSONS WITH DISABILITIES</w:t>
      </w:r>
    </w:p>
    <w:p w14:paraId="7EE8ABB0" w14:textId="77777777" w:rsidR="00C34BA7" w:rsidRPr="00B16EE8" w:rsidRDefault="00C34BA7" w:rsidP="00E241DD">
      <w:pPr>
        <w:pStyle w:val="StyleBodyTextLinespacingMultiple165li"/>
        <w:tabs>
          <w:tab w:val="left" w:pos="1260"/>
        </w:tabs>
        <w:spacing w:line="480" w:lineRule="auto"/>
        <w:ind w:firstLine="0"/>
        <w:rPr>
          <w:rFonts w:ascii="Times New Roman" w:hAnsi="Times New Roman"/>
          <w:caps/>
          <w:spacing w:val="-2"/>
          <w:kern w:val="10"/>
          <w:sz w:val="24"/>
          <w:szCs w:val="24"/>
        </w:rPr>
      </w:pPr>
      <w:r w:rsidRPr="00C626A4">
        <w:rPr>
          <w:rFonts w:ascii="Times New Roman" w:hAnsi="Times New Roman"/>
          <w:caps/>
          <w:spacing w:val="-2"/>
          <w:kern w:val="10"/>
          <w:sz w:val="24"/>
          <w:szCs w:val="24"/>
        </w:rPr>
        <w:t>IF YOU ARE AN INDIVIDUAL WITH A DISABILITY WHO IS IN NEED OF A READER, AMPLIFIER, QUALIFIED SIGN LANGUAGE INTERPRETER, OR ANY OTHER FORM OF AUXILIARY AID OR SERVICE TO ATTEND OR PARTICIPATE IN THE HEARING, OR FOR A SUMMARY OR OTHER TYPE OF ACCESSIBLE FORMAT OF PUBLIC DOCUMENTS, PLEASE CONTACT THE DIRECTOR OF ADMINISTRATIVE SERVICES OF THE COMMISSION AT (505) 827-8019 AS SOON AS POSSIBLE PRIOR TO THE HEARING.</w:t>
      </w:r>
    </w:p>
    <w:p w14:paraId="3F0F739A" w14:textId="2A455EB6" w:rsidR="00C34BA7" w:rsidRDefault="00C34BA7" w:rsidP="00C34BA7">
      <w:pPr>
        <w:spacing w:line="480" w:lineRule="auto"/>
        <w:ind w:firstLine="720"/>
        <w:jc w:val="both"/>
        <w:rPr>
          <w:kern w:val="16"/>
          <w:sz w:val="25"/>
          <w:szCs w:val="25"/>
        </w:rPr>
      </w:pPr>
      <w:r w:rsidRPr="00C77202">
        <w:rPr>
          <w:b/>
          <w:kern w:val="16"/>
          <w:sz w:val="25"/>
          <w:szCs w:val="25"/>
        </w:rPr>
        <w:t>ISSUED</w:t>
      </w:r>
      <w:r w:rsidRPr="00C77202">
        <w:rPr>
          <w:kern w:val="16"/>
          <w:sz w:val="25"/>
          <w:szCs w:val="25"/>
        </w:rPr>
        <w:t xml:space="preserve"> under the seal of the Commission at Santa Fe, New Mexico this </w:t>
      </w:r>
      <w:r w:rsidR="00C302E7">
        <w:rPr>
          <w:kern w:val="16"/>
          <w:sz w:val="25"/>
          <w:szCs w:val="25"/>
        </w:rPr>
        <w:t>17</w:t>
      </w:r>
      <w:r w:rsidR="00C302E7" w:rsidRPr="00C302E7">
        <w:rPr>
          <w:kern w:val="16"/>
          <w:sz w:val="25"/>
          <w:szCs w:val="25"/>
          <w:vertAlign w:val="superscript"/>
        </w:rPr>
        <w:t>th</w:t>
      </w:r>
      <w:r w:rsidR="00C302E7">
        <w:rPr>
          <w:kern w:val="16"/>
          <w:sz w:val="25"/>
          <w:szCs w:val="25"/>
        </w:rPr>
        <w:t xml:space="preserve"> </w:t>
      </w:r>
      <w:r w:rsidRPr="00C77202">
        <w:rPr>
          <w:kern w:val="16"/>
          <w:sz w:val="25"/>
          <w:szCs w:val="25"/>
        </w:rPr>
        <w:t xml:space="preserve">day of </w:t>
      </w:r>
      <w:r>
        <w:rPr>
          <w:kern w:val="16"/>
          <w:sz w:val="25"/>
          <w:szCs w:val="25"/>
        </w:rPr>
        <w:t>October</w:t>
      </w:r>
      <w:r w:rsidR="00E241DD">
        <w:rPr>
          <w:kern w:val="16"/>
          <w:sz w:val="25"/>
          <w:szCs w:val="25"/>
        </w:rPr>
        <w:t>,</w:t>
      </w:r>
      <w:r w:rsidRPr="00C77202">
        <w:rPr>
          <w:kern w:val="16"/>
          <w:sz w:val="25"/>
          <w:szCs w:val="25"/>
        </w:rPr>
        <w:t xml:space="preserve"> </w:t>
      </w:r>
      <w:r>
        <w:rPr>
          <w:kern w:val="16"/>
          <w:sz w:val="25"/>
          <w:szCs w:val="25"/>
        </w:rPr>
        <w:t>2024</w:t>
      </w:r>
      <w:r w:rsidRPr="00C77202">
        <w:rPr>
          <w:kern w:val="16"/>
          <w:sz w:val="25"/>
          <w:szCs w:val="25"/>
        </w:rPr>
        <w:t xml:space="preserve">. </w:t>
      </w:r>
    </w:p>
    <w:p w14:paraId="15305170" w14:textId="77777777" w:rsidR="00895EE3" w:rsidRPr="00E80DFC" w:rsidRDefault="00895EE3" w:rsidP="00895EE3">
      <w:pPr>
        <w:overflowPunct w:val="0"/>
        <w:adjustRightInd w:val="0"/>
        <w:spacing w:after="360"/>
        <w:ind w:firstLine="2160"/>
        <w:textAlignment w:val="baseline"/>
        <w:rPr>
          <w:b/>
        </w:rPr>
      </w:pPr>
      <w:bookmarkStart w:id="0" w:name="_Hlk163643253"/>
      <w:bookmarkStart w:id="1" w:name="_Hlk163736179"/>
      <w:r w:rsidRPr="00E80DFC">
        <w:rPr>
          <w:noProof/>
        </w:rPr>
        <w:drawing>
          <wp:anchor distT="0" distB="0" distL="114300" distR="114300" simplePos="0" relativeHeight="251659264" behindDoc="0" locked="0" layoutInCell="1" allowOverlap="1" wp14:anchorId="3F2953C8" wp14:editId="2F7FEDF5">
            <wp:simplePos x="0" y="0"/>
            <wp:positionH relativeFrom="column">
              <wp:posOffset>17780</wp:posOffset>
            </wp:positionH>
            <wp:positionV relativeFrom="paragraph">
              <wp:posOffset>427990</wp:posOffset>
            </wp:positionV>
            <wp:extent cx="1099185" cy="1110615"/>
            <wp:effectExtent l="0" t="0" r="0" b="0"/>
            <wp:wrapSquare wrapText="bothSides"/>
            <wp:docPr id="2" name="Picture 3" descr="A close-up of a coin&#10;&#10;&#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up of a coin&#10;&#10;&#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185" cy="1110615"/>
                    </a:xfrm>
                    <a:prstGeom prst="rect">
                      <a:avLst/>
                    </a:prstGeom>
                    <a:noFill/>
                  </pic:spPr>
                </pic:pic>
              </a:graphicData>
            </a:graphic>
            <wp14:sizeRelH relativeFrom="page">
              <wp14:pctWidth>0</wp14:pctWidth>
            </wp14:sizeRelH>
            <wp14:sizeRelV relativeFrom="page">
              <wp14:pctHeight>0</wp14:pctHeight>
            </wp14:sizeRelV>
          </wp:anchor>
        </w:drawing>
      </w:r>
      <w:r w:rsidRPr="00E80DFC">
        <w:rPr>
          <w:b/>
        </w:rPr>
        <w:t>NEW MEXICO PUBLIC REGULATION COMMISSION</w:t>
      </w:r>
    </w:p>
    <w:p w14:paraId="79B0F2E7" w14:textId="77777777" w:rsidR="00895EE3" w:rsidRPr="00E80DFC" w:rsidRDefault="00895EE3" w:rsidP="00895EE3">
      <w:pPr>
        <w:tabs>
          <w:tab w:val="left" w:pos="2160"/>
          <w:tab w:val="left" w:pos="6210"/>
          <w:tab w:val="left" w:pos="6390"/>
          <w:tab w:val="left" w:pos="6480"/>
          <w:tab w:val="left" w:pos="8190"/>
        </w:tabs>
        <w:overflowPunct w:val="0"/>
        <w:adjustRightInd w:val="0"/>
        <w:ind w:right="1170" w:firstLine="180"/>
        <w:textAlignment w:val="baseline"/>
        <w:rPr>
          <w:u w:val="thick"/>
        </w:rPr>
      </w:pPr>
      <w:r w:rsidRPr="00E80DFC">
        <w:rPr>
          <w:noProof/>
          <w:u w:val="thick"/>
        </w:rPr>
        <w:drawing>
          <wp:inline distT="0" distB="0" distL="0" distR="0" wp14:anchorId="59D8A2B9" wp14:editId="66E7816D">
            <wp:extent cx="2178685" cy="56134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9678" cy="613126"/>
                    </a:xfrm>
                    <a:prstGeom prst="rect">
                      <a:avLst/>
                    </a:prstGeom>
                  </pic:spPr>
                </pic:pic>
              </a:graphicData>
            </a:graphic>
          </wp:inline>
        </w:drawing>
      </w:r>
      <w:r w:rsidRPr="00E80DFC">
        <w:rPr>
          <w:u w:val="thick"/>
        </w:rPr>
        <w:tab/>
      </w:r>
    </w:p>
    <w:p w14:paraId="1463711F" w14:textId="77777777" w:rsidR="00895EE3" w:rsidRPr="00E80DFC" w:rsidRDefault="00895EE3" w:rsidP="00895EE3">
      <w:pPr>
        <w:overflowPunct w:val="0"/>
        <w:adjustRightInd w:val="0"/>
        <w:ind w:firstLine="180"/>
        <w:textAlignment w:val="baseline"/>
        <w:rPr>
          <w:b/>
          <w:kern w:val="10"/>
        </w:rPr>
      </w:pPr>
      <w:r w:rsidRPr="00E80DFC">
        <w:rPr>
          <w:b/>
          <w:kern w:val="10"/>
        </w:rPr>
        <w:t>Elizabeth C. Hurst</w:t>
      </w:r>
      <w:bookmarkStart w:id="2" w:name="_Toc149993267"/>
      <w:bookmarkStart w:id="3" w:name="_Toc149993992"/>
      <w:bookmarkStart w:id="4" w:name="_Toc149996885"/>
    </w:p>
    <w:p w14:paraId="7FD05E95" w14:textId="7A943945" w:rsidR="00895EE3" w:rsidRDefault="00895EE3" w:rsidP="00E241DD">
      <w:pPr>
        <w:overflowPunct w:val="0"/>
        <w:adjustRightInd w:val="0"/>
        <w:spacing w:after="360"/>
        <w:ind w:firstLine="180"/>
        <w:textAlignment w:val="baseline"/>
        <w:rPr>
          <w:kern w:val="16"/>
          <w:sz w:val="25"/>
          <w:szCs w:val="25"/>
        </w:rPr>
      </w:pPr>
      <w:r w:rsidRPr="00E80DFC">
        <w:rPr>
          <w:b/>
          <w:kern w:val="10"/>
        </w:rPr>
        <w:t>Hear</w:t>
      </w:r>
      <w:bookmarkEnd w:id="0"/>
      <w:bookmarkEnd w:id="2"/>
      <w:bookmarkEnd w:id="3"/>
      <w:bookmarkEnd w:id="4"/>
      <w:r w:rsidRPr="00E80DFC">
        <w:rPr>
          <w:b/>
          <w:kern w:val="10"/>
        </w:rPr>
        <w:t>ing Examiner</w:t>
      </w:r>
      <w:bookmarkEnd w:id="1"/>
    </w:p>
    <w:p w14:paraId="7BFF3E8F" w14:textId="77777777" w:rsidR="00895EE3" w:rsidRPr="00C77202" w:rsidRDefault="00895EE3" w:rsidP="00C34BA7">
      <w:pPr>
        <w:spacing w:line="480" w:lineRule="auto"/>
        <w:ind w:firstLine="720"/>
        <w:jc w:val="both"/>
        <w:rPr>
          <w:kern w:val="16"/>
          <w:sz w:val="25"/>
          <w:szCs w:val="25"/>
        </w:rPr>
      </w:pPr>
    </w:p>
    <w:sectPr w:rsidR="00895EE3" w:rsidRPr="00C77202" w:rsidSect="00E241DD">
      <w:headerReference w:type="default" r:id="rId12"/>
      <w:footerReference w:type="default" r:id="rId13"/>
      <w:headerReference w:type="first" r:id="rId14"/>
      <w:pgSz w:w="12240" w:h="15840"/>
      <w:pgMar w:top="1440" w:right="1440" w:bottom="1008"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B3DF" w14:textId="77777777" w:rsidR="00B84240" w:rsidRDefault="00B84240">
      <w:r>
        <w:separator/>
      </w:r>
    </w:p>
  </w:endnote>
  <w:endnote w:type="continuationSeparator" w:id="0">
    <w:p w14:paraId="2A62EE9F" w14:textId="77777777" w:rsidR="00B84240" w:rsidRDefault="00B84240">
      <w:r>
        <w:continuationSeparator/>
      </w:r>
    </w:p>
  </w:endnote>
  <w:endnote w:type="continuationNotice" w:id="1">
    <w:p w14:paraId="4A097954" w14:textId="77777777" w:rsidR="00B84240" w:rsidRDefault="00B84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37E5" w14:textId="587BE5B1" w:rsidR="0088782B" w:rsidRDefault="0088782B" w:rsidP="00B9282C">
    <w:pPr>
      <w:pStyle w:val="Footer"/>
      <w:numPr>
        <w:ilvl w:val="0"/>
        <w:numId w:val="38"/>
      </w:numPr>
    </w:pPr>
    <w:r>
      <w:rPr>
        <w:rStyle w:val="PageNumber"/>
        <w:rFonts w:eastAsia="Calibri"/>
        <w:bCs/>
      </w:rPr>
      <w:fldChar w:fldCharType="begin"/>
    </w:r>
    <w:r>
      <w:rPr>
        <w:rStyle w:val="PageNumber"/>
        <w:rFonts w:eastAsia="Calibri"/>
        <w:bCs/>
      </w:rPr>
      <w:instrText xml:space="preserve"> PAGE </w:instrText>
    </w:r>
    <w:r>
      <w:rPr>
        <w:rStyle w:val="PageNumber"/>
        <w:rFonts w:eastAsia="Calibri"/>
        <w:bCs/>
      </w:rPr>
      <w:fldChar w:fldCharType="separate"/>
    </w:r>
    <w:r w:rsidR="00161D3F">
      <w:rPr>
        <w:rStyle w:val="PageNumber"/>
        <w:rFonts w:eastAsia="Calibri"/>
        <w:bCs/>
        <w:noProof/>
      </w:rPr>
      <w:t>9</w:t>
    </w:r>
    <w:r>
      <w:rPr>
        <w:rStyle w:val="PageNumber"/>
        <w:rFonts w:eastAsia="Calibri"/>
        <w:bCs/>
      </w:rPr>
      <w:fldChar w:fldCharType="end"/>
    </w:r>
    <w:r w:rsidR="00B9282C">
      <w:rPr>
        <w:rStyle w:val="PageNumber"/>
        <w:rFonts w:eastAsia="Calibri"/>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A1F5D" w14:textId="77777777" w:rsidR="00B84240" w:rsidRDefault="00B84240">
      <w:r>
        <w:separator/>
      </w:r>
    </w:p>
  </w:footnote>
  <w:footnote w:type="continuationSeparator" w:id="0">
    <w:p w14:paraId="725A49FE" w14:textId="77777777" w:rsidR="00B84240" w:rsidRDefault="00B84240">
      <w:r>
        <w:continuationSeparator/>
      </w:r>
    </w:p>
  </w:footnote>
  <w:footnote w:type="continuationNotice" w:id="1">
    <w:p w14:paraId="77C32746" w14:textId="77777777" w:rsidR="00B84240" w:rsidRDefault="00B84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7FB8" w14:textId="77777777" w:rsidR="00B9282C" w:rsidRPr="00B9282C" w:rsidRDefault="00B9282C" w:rsidP="00B9282C">
    <w:pPr>
      <w:pBdr>
        <w:top w:val="nil"/>
        <w:left w:val="nil"/>
        <w:bottom w:val="nil"/>
        <w:right w:val="nil"/>
        <w:between w:val="nil"/>
        <w:bar w:val="nil"/>
      </w:pBdr>
      <w:tabs>
        <w:tab w:val="left" w:pos="4140"/>
        <w:tab w:val="right" w:pos="9360"/>
      </w:tabs>
      <w:spacing w:line="200" w:lineRule="exact"/>
      <w:jc w:val="center"/>
      <w:rPr>
        <w:rFonts w:ascii="Times New Roman Bold" w:hAnsi="Times New Roman Bold"/>
        <w:b/>
        <w:bCs/>
        <w:smallCaps/>
        <w:kern w:val="10"/>
        <w:u w:val="thick"/>
        <w14:ligatures w14:val="standardContextual"/>
      </w:rPr>
    </w:pPr>
    <w:r w:rsidRPr="00B9282C">
      <w:rPr>
        <w:rFonts w:ascii="Times New Roman Bold" w:hAnsi="Times New Roman Bold"/>
        <w:b/>
        <w:bCs/>
        <w:smallCaps/>
        <w:kern w:val="10"/>
        <w14:ligatures w14:val="standardContextual"/>
      </w:rPr>
      <w:t>Before the New Mexico Public Regulation Commission</w:t>
    </w:r>
  </w:p>
  <w:p w14:paraId="087E7BD5" w14:textId="77777777" w:rsidR="00B9282C" w:rsidRPr="00B9282C" w:rsidRDefault="00B9282C" w:rsidP="00B9282C">
    <w:pPr>
      <w:pBdr>
        <w:top w:val="nil"/>
        <w:left w:val="nil"/>
        <w:bottom w:val="nil"/>
        <w:right w:val="nil"/>
        <w:between w:val="nil"/>
        <w:bar w:val="nil"/>
      </w:pBdr>
      <w:tabs>
        <w:tab w:val="left" w:pos="4140"/>
        <w:tab w:val="right" w:pos="9360"/>
      </w:tabs>
      <w:spacing w:after="20" w:line="60" w:lineRule="auto"/>
      <w:rPr>
        <w:rFonts w:ascii="Times New Roman Bold" w:hAnsi="Times New Roman Bold"/>
        <w:b/>
        <w:bCs/>
        <w:kern w:val="10"/>
        <w:u w:val="single"/>
        <w14:ligatures w14:val="standardContextual"/>
      </w:rPr>
    </w:pPr>
    <w:r w:rsidRPr="00B9282C">
      <w:rPr>
        <w:rFonts w:ascii="Times New Roman Bold" w:hAnsi="Times New Roman Bold"/>
        <w:b/>
        <w:bCs/>
        <w:kern w:val="10"/>
        <w:u w:val="thick"/>
        <w14:ligatures w14:val="standardContextual"/>
      </w:rPr>
      <w:tab/>
    </w:r>
    <w:r w:rsidRPr="00B9282C">
      <w:rPr>
        <w:rFonts w:ascii="Times New Roman Bold" w:hAnsi="Times New Roman Bold"/>
        <w:b/>
        <w:bCs/>
        <w:kern w:val="10"/>
        <w:u w:val="thick"/>
        <w14:ligatures w14:val="standardContextual"/>
      </w:rPr>
      <w:tab/>
    </w:r>
  </w:p>
  <w:p w14:paraId="2C1F7478" w14:textId="425B492D" w:rsidR="00B9282C" w:rsidRPr="00B9282C" w:rsidRDefault="00B9282C" w:rsidP="00E241DD">
    <w:pPr>
      <w:pBdr>
        <w:top w:val="nil"/>
        <w:left w:val="nil"/>
        <w:bottom w:val="nil"/>
        <w:right w:val="nil"/>
        <w:between w:val="nil"/>
        <w:bar w:val="nil"/>
      </w:pBdr>
      <w:tabs>
        <w:tab w:val="right" w:pos="9360"/>
      </w:tabs>
      <w:spacing w:after="480"/>
      <w:contextualSpacing/>
      <w:jc w:val="both"/>
    </w:pPr>
    <w:r w:rsidRPr="00C302E7">
      <w:rPr>
        <w:rFonts w:ascii="Times New Roman Bold" w:hAnsi="Times New Roman Bold"/>
        <w:b/>
        <w:bCs/>
        <w:kern w:val="10"/>
        <w14:ligatures w14:val="standardContextual"/>
      </w:rPr>
      <w:t>Notice</w:t>
    </w:r>
    <w:r w:rsidR="00B846E1">
      <w:rPr>
        <w:rFonts w:ascii="Times New Roman Bold" w:hAnsi="Times New Roman Bold"/>
        <w:b/>
        <w:bCs/>
        <w:kern w:val="10"/>
        <w14:ligatures w14:val="standardContextual"/>
      </w:rPr>
      <w:t xml:space="preserve"> of Proceeding and Hearing</w:t>
    </w:r>
    <w:r w:rsidRPr="00B9282C">
      <w:rPr>
        <w:rFonts w:ascii="Times New Roman Bold" w:hAnsi="Times New Roman Bold"/>
        <w:b/>
        <w:bCs/>
        <w:kern w:val="10"/>
        <w14:ligatures w14:val="standardContextual"/>
      </w:rPr>
      <w:tab/>
      <w:t>Case No. 24-002</w:t>
    </w:r>
    <w:r>
      <w:rPr>
        <w:rFonts w:ascii="Times New Roman Bold" w:hAnsi="Times New Roman Bold"/>
        <w:b/>
        <w:bCs/>
        <w:kern w:val="10"/>
        <w14:ligatures w14:val="standardContextual"/>
      </w:rPr>
      <w:t>51</w:t>
    </w:r>
    <w:r w:rsidRPr="00B9282C">
      <w:rPr>
        <w:rFonts w:ascii="Times New Roman Bold" w:hAnsi="Times New Roman Bold"/>
        <w:b/>
        <w:bCs/>
        <w:kern w:val="10"/>
        <w14:ligatures w14:val="standardContextual"/>
      </w:rPr>
      <w:t>-UT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3309" w14:textId="77777777" w:rsidR="0088782B" w:rsidRDefault="0088782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DB44FA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10375A1"/>
    <w:multiLevelType w:val="hybridMultilevel"/>
    <w:tmpl w:val="CF0A5890"/>
    <w:lvl w:ilvl="0" w:tplc="7F0A1236">
      <w:start w:val="1"/>
      <w:numFmt w:val="upperLetter"/>
      <w:lvlText w:val="(%1)"/>
      <w:lvlJc w:val="left"/>
      <w:pPr>
        <w:ind w:left="162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86181"/>
    <w:multiLevelType w:val="hybridMultilevel"/>
    <w:tmpl w:val="9EC8D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0E0C33"/>
    <w:multiLevelType w:val="hybridMultilevel"/>
    <w:tmpl w:val="CEB2F820"/>
    <w:lvl w:ilvl="0" w:tplc="888837F0">
      <w:start w:val="1"/>
      <w:numFmt w:val="lowerLetter"/>
      <w:lvlText w:val="%1."/>
      <w:lvlJc w:val="left"/>
      <w:pPr>
        <w:ind w:left="1800"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2AF2BF5"/>
    <w:multiLevelType w:val="hybridMultilevel"/>
    <w:tmpl w:val="488C7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15BA3"/>
    <w:multiLevelType w:val="hybridMultilevel"/>
    <w:tmpl w:val="4B602A08"/>
    <w:lvl w:ilvl="0" w:tplc="45645974">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2145"/>
    <w:multiLevelType w:val="hybridMultilevel"/>
    <w:tmpl w:val="B7B4E928"/>
    <w:lvl w:ilvl="0" w:tplc="BAB069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65EC2"/>
    <w:multiLevelType w:val="hybridMultilevel"/>
    <w:tmpl w:val="AAAE8268"/>
    <w:lvl w:ilvl="0" w:tplc="04090017">
      <w:start w:val="1"/>
      <w:numFmt w:val="lowerLetter"/>
      <w:lvlText w:val="%1)"/>
      <w:lvlJc w:val="left"/>
      <w:pPr>
        <w:ind w:left="1800" w:hanging="360"/>
      </w:pPr>
    </w:lvl>
    <w:lvl w:ilvl="1" w:tplc="776002F0">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0B3FB5"/>
    <w:multiLevelType w:val="hybridMultilevel"/>
    <w:tmpl w:val="60D2BB0C"/>
    <w:lvl w:ilvl="0" w:tplc="778CB946">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7434F3"/>
    <w:multiLevelType w:val="hybridMultilevel"/>
    <w:tmpl w:val="6BDC4FBA"/>
    <w:lvl w:ilvl="0" w:tplc="B3BA8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10233A"/>
    <w:multiLevelType w:val="hybridMultilevel"/>
    <w:tmpl w:val="3E3628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7051EE"/>
    <w:multiLevelType w:val="hybridMultilevel"/>
    <w:tmpl w:val="245E8808"/>
    <w:lvl w:ilvl="0" w:tplc="722697FA">
      <w:start w:val="1"/>
      <w:numFmt w:val="decimal"/>
      <w:lvlText w:val="%1."/>
      <w:lvlJc w:val="left"/>
      <w:pPr>
        <w:ind w:left="990" w:hanging="360"/>
      </w:pPr>
      <w:rPr>
        <w:b w:val="0"/>
        <w:bCs/>
        <w:sz w:val="24"/>
        <w:szCs w:val="24"/>
        <w:vertAlign w:val="baseline"/>
      </w:rPr>
    </w:lvl>
    <w:lvl w:ilvl="1" w:tplc="066001FC">
      <w:start w:val="1"/>
      <w:numFmt w:val="upperLetter"/>
      <w:lvlText w:val="%2."/>
      <w:lvlJc w:val="left"/>
      <w:pPr>
        <w:ind w:left="2160" w:hanging="360"/>
      </w:pPr>
      <w:rPr>
        <w:rFonts w:hint="default"/>
        <w:b w:val="0"/>
        <w:i w:val="0"/>
        <w:sz w:val="24"/>
        <w:szCs w:val="24"/>
        <w:vertAlign w:val="baseline"/>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411FC0"/>
    <w:multiLevelType w:val="hybridMultilevel"/>
    <w:tmpl w:val="51407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5A75F3"/>
    <w:multiLevelType w:val="hybridMultilevel"/>
    <w:tmpl w:val="735ABD40"/>
    <w:lvl w:ilvl="0" w:tplc="B36A8C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2EE02FA"/>
    <w:multiLevelType w:val="hybridMultilevel"/>
    <w:tmpl w:val="E7DC917A"/>
    <w:lvl w:ilvl="0" w:tplc="49C69C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0964B4"/>
    <w:multiLevelType w:val="hybridMultilevel"/>
    <w:tmpl w:val="408C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52A06"/>
    <w:multiLevelType w:val="hybridMultilevel"/>
    <w:tmpl w:val="67DCC0B8"/>
    <w:lvl w:ilvl="0" w:tplc="D94AAA04">
      <w:start w:val="1"/>
      <w:numFmt w:val="low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2A7BA1"/>
    <w:multiLevelType w:val="hybridMultilevel"/>
    <w:tmpl w:val="28E2B70A"/>
    <w:lvl w:ilvl="0" w:tplc="F072D3B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13250"/>
    <w:multiLevelType w:val="hybridMultilevel"/>
    <w:tmpl w:val="8A1CD594"/>
    <w:lvl w:ilvl="0" w:tplc="2FB0DFF6">
      <w:start w:val="1"/>
      <w:numFmt w:val="decimal"/>
      <w:pStyle w:val="StyleBodyTextIndentLinespacingMultiple165li"/>
      <w:lvlText w:val="%1."/>
      <w:lvlJc w:val="left"/>
      <w:pPr>
        <w:tabs>
          <w:tab w:val="num" w:pos="1440"/>
        </w:tabs>
        <w:ind w:left="0" w:firstLine="720"/>
      </w:pPr>
      <w:rPr>
        <w:rFonts w:ascii="Times New Roman" w:eastAsia="Times New Roman" w:hAnsi="Times New Roman" w:cs="Times New Roman" w:hint="default"/>
        <w:b w:val="0"/>
        <w:i w:val="0"/>
        <w:spacing w:val="4"/>
        <w:w w:val="100"/>
        <w:position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D7FEDE96">
      <w:start w:val="1"/>
      <w:numFmt w:val="decimal"/>
      <w:lvlText w:val="(%4)"/>
      <w:lvlJc w:val="left"/>
      <w:pPr>
        <w:ind w:left="3600" w:hanging="360"/>
      </w:p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4C9E1088"/>
    <w:multiLevelType w:val="hybridMultilevel"/>
    <w:tmpl w:val="D7A45F02"/>
    <w:lvl w:ilvl="0" w:tplc="7FC4F0EE">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44308"/>
    <w:multiLevelType w:val="hybridMultilevel"/>
    <w:tmpl w:val="06B0FE9C"/>
    <w:lvl w:ilvl="0" w:tplc="2B5027E0">
      <w:start w:val="505"/>
      <w:numFmt w:val="bullet"/>
      <w:lvlText w:val="-"/>
      <w:lvlJc w:val="left"/>
      <w:pPr>
        <w:ind w:left="4950" w:hanging="360"/>
      </w:pPr>
      <w:rPr>
        <w:rFonts w:ascii="Arial" w:eastAsia="Times New Roman" w:hAnsi="Arial" w:cs="Arial" w:hint="default"/>
        <w:b/>
        <w:sz w:val="20"/>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21" w15:restartNumberingAfterBreak="0">
    <w:nsid w:val="54447951"/>
    <w:multiLevelType w:val="hybridMultilevel"/>
    <w:tmpl w:val="EBBAFD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401A9"/>
    <w:multiLevelType w:val="hybridMultilevel"/>
    <w:tmpl w:val="27D68BAA"/>
    <w:lvl w:ilvl="0" w:tplc="522CFAC6">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3" w15:restartNumberingAfterBreak="0">
    <w:nsid w:val="590E353E"/>
    <w:multiLevelType w:val="hybridMultilevel"/>
    <w:tmpl w:val="4EB296CA"/>
    <w:lvl w:ilvl="0" w:tplc="A12202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4B256C"/>
    <w:multiLevelType w:val="hybridMultilevel"/>
    <w:tmpl w:val="8BC6CE80"/>
    <w:lvl w:ilvl="0" w:tplc="9E06D70A">
      <w:start w:val="1"/>
      <w:numFmt w:val="decimal"/>
      <w:lvlText w:val="%1."/>
      <w:lvlJc w:val="left"/>
      <w:pPr>
        <w:ind w:left="1080" w:hanging="360"/>
      </w:pPr>
      <w:rPr>
        <w:rFonts w:hint="default"/>
        <w:b w:val="0"/>
        <w:bCs/>
        <w:color w:val="auto"/>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F42C60"/>
    <w:multiLevelType w:val="hybridMultilevel"/>
    <w:tmpl w:val="BA1C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70A46"/>
    <w:multiLevelType w:val="hybridMultilevel"/>
    <w:tmpl w:val="8DFEF614"/>
    <w:lvl w:ilvl="0" w:tplc="C270D012">
      <w:start w:val="3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B2851"/>
    <w:multiLevelType w:val="hybridMultilevel"/>
    <w:tmpl w:val="BDB69C14"/>
    <w:lvl w:ilvl="0" w:tplc="7DB89D1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F50D9C"/>
    <w:multiLevelType w:val="hybridMultilevel"/>
    <w:tmpl w:val="7988DF10"/>
    <w:lvl w:ilvl="0" w:tplc="870C5DD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679AF"/>
    <w:multiLevelType w:val="hybridMultilevel"/>
    <w:tmpl w:val="B7B4E928"/>
    <w:lvl w:ilvl="0" w:tplc="BAB069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A8571A"/>
    <w:multiLevelType w:val="hybridMultilevel"/>
    <w:tmpl w:val="5232A270"/>
    <w:lvl w:ilvl="0" w:tplc="DF2E69B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43059C"/>
    <w:multiLevelType w:val="hybridMultilevel"/>
    <w:tmpl w:val="30AA301A"/>
    <w:lvl w:ilvl="0" w:tplc="DDA0F85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C28D1"/>
    <w:multiLevelType w:val="hybridMultilevel"/>
    <w:tmpl w:val="D7F463E4"/>
    <w:lvl w:ilvl="0" w:tplc="88C21E76">
      <w:start w:val="27"/>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30EC8"/>
    <w:multiLevelType w:val="hybridMultilevel"/>
    <w:tmpl w:val="3192FB8A"/>
    <w:lvl w:ilvl="0" w:tplc="04090015">
      <w:start w:val="1"/>
      <w:numFmt w:val="upperLetter"/>
      <w:lvlText w:val="%1."/>
      <w:lvlJc w:val="left"/>
      <w:pPr>
        <w:ind w:left="108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BD2B38"/>
    <w:multiLevelType w:val="hybridMultilevel"/>
    <w:tmpl w:val="E79249B4"/>
    <w:lvl w:ilvl="0" w:tplc="D2742AEA">
      <w:start w:val="1"/>
      <w:numFmt w:val="lowerLetter"/>
      <w:lvlText w:val="%1."/>
      <w:lvlJc w:val="left"/>
      <w:pPr>
        <w:ind w:left="1800"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7C800E74"/>
    <w:multiLevelType w:val="hybridMultilevel"/>
    <w:tmpl w:val="6B98446E"/>
    <w:lvl w:ilvl="0" w:tplc="EBFA9CE8">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80227"/>
    <w:multiLevelType w:val="hybridMultilevel"/>
    <w:tmpl w:val="B5287318"/>
    <w:lvl w:ilvl="0" w:tplc="0458F646">
      <w:start w:val="1"/>
      <w:numFmt w:val="decimal"/>
      <w:lvlText w:val="%1."/>
      <w:lvlJc w:val="left"/>
      <w:pPr>
        <w:ind w:left="720" w:hanging="360"/>
      </w:pPr>
    </w:lvl>
    <w:lvl w:ilvl="1" w:tplc="A6F0D42E">
      <w:start w:val="1"/>
      <w:numFmt w:val="lowerLetter"/>
      <w:lvlText w:val="%2."/>
      <w:lvlJc w:val="left"/>
      <w:pPr>
        <w:ind w:left="1440" w:hanging="360"/>
      </w:pPr>
    </w:lvl>
    <w:lvl w:ilvl="2" w:tplc="76900964">
      <w:start w:val="1"/>
      <w:numFmt w:val="lowerRoman"/>
      <w:lvlText w:val="%3."/>
      <w:lvlJc w:val="right"/>
      <w:pPr>
        <w:ind w:left="2160" w:hanging="180"/>
      </w:pPr>
    </w:lvl>
    <w:lvl w:ilvl="3" w:tplc="AB5A3E58">
      <w:start w:val="1"/>
      <w:numFmt w:val="decimal"/>
      <w:lvlText w:val="%4."/>
      <w:lvlJc w:val="left"/>
      <w:pPr>
        <w:ind w:left="2880" w:hanging="360"/>
      </w:pPr>
    </w:lvl>
    <w:lvl w:ilvl="4" w:tplc="18A8252E">
      <w:start w:val="1"/>
      <w:numFmt w:val="lowerLetter"/>
      <w:lvlText w:val="%5."/>
      <w:lvlJc w:val="left"/>
      <w:pPr>
        <w:ind w:left="3600" w:hanging="360"/>
      </w:pPr>
    </w:lvl>
    <w:lvl w:ilvl="5" w:tplc="9F7E177E">
      <w:start w:val="1"/>
      <w:numFmt w:val="lowerRoman"/>
      <w:lvlText w:val="%6."/>
      <w:lvlJc w:val="right"/>
      <w:pPr>
        <w:ind w:left="4320" w:hanging="180"/>
      </w:pPr>
    </w:lvl>
    <w:lvl w:ilvl="6" w:tplc="8D1CEFE6">
      <w:start w:val="1"/>
      <w:numFmt w:val="decimal"/>
      <w:lvlText w:val="%7."/>
      <w:lvlJc w:val="left"/>
      <w:pPr>
        <w:ind w:left="5040" w:hanging="360"/>
      </w:pPr>
    </w:lvl>
    <w:lvl w:ilvl="7" w:tplc="F99EB676">
      <w:start w:val="1"/>
      <w:numFmt w:val="lowerLetter"/>
      <w:lvlText w:val="%8."/>
      <w:lvlJc w:val="left"/>
      <w:pPr>
        <w:ind w:left="5760" w:hanging="360"/>
      </w:pPr>
    </w:lvl>
    <w:lvl w:ilvl="8" w:tplc="65D2C678">
      <w:start w:val="1"/>
      <w:numFmt w:val="lowerRoman"/>
      <w:lvlText w:val="%9."/>
      <w:lvlJc w:val="right"/>
      <w:pPr>
        <w:ind w:left="6480" w:hanging="180"/>
      </w:pPr>
    </w:lvl>
  </w:abstractNum>
  <w:abstractNum w:abstractNumId="37" w15:restartNumberingAfterBreak="0">
    <w:nsid w:val="7F9F5C43"/>
    <w:multiLevelType w:val="hybridMultilevel"/>
    <w:tmpl w:val="CF86C564"/>
    <w:lvl w:ilvl="0" w:tplc="007CE92A">
      <w:start w:val="1"/>
      <w:numFmt w:val="decimal"/>
      <w:lvlText w:val="%1."/>
      <w:lvlJc w:val="left"/>
      <w:pPr>
        <w:ind w:left="1080" w:hanging="360"/>
      </w:pPr>
      <w:rPr>
        <w:rFonts w:ascii="Times New Roman" w:hAnsi="Times New Roman" w:hint="default"/>
        <w:b w:val="0"/>
        <w:bCs/>
        <w:color w:val="auto"/>
      </w:rPr>
    </w:lvl>
    <w:lvl w:ilvl="1" w:tplc="FFFFFFFF">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585052">
    <w:abstractNumId w:val="36"/>
  </w:num>
  <w:num w:numId="2" w16cid:durableId="1327437082">
    <w:abstractNumId w:val="17"/>
  </w:num>
  <w:num w:numId="3" w16cid:durableId="868757509">
    <w:abstractNumId w:val="35"/>
  </w:num>
  <w:num w:numId="4" w16cid:durableId="1912347015">
    <w:abstractNumId w:val="28"/>
  </w:num>
  <w:num w:numId="5" w16cid:durableId="247276937">
    <w:abstractNumId w:val="27"/>
  </w:num>
  <w:num w:numId="6" w16cid:durableId="579489927">
    <w:abstractNumId w:val="16"/>
  </w:num>
  <w:num w:numId="7" w16cid:durableId="62486222">
    <w:abstractNumId w:val="29"/>
  </w:num>
  <w:num w:numId="8" w16cid:durableId="561865267">
    <w:abstractNumId w:val="6"/>
  </w:num>
  <w:num w:numId="9" w16cid:durableId="2143959952">
    <w:abstractNumId w:val="23"/>
  </w:num>
  <w:num w:numId="10" w16cid:durableId="1009021040">
    <w:abstractNumId w:val="22"/>
  </w:num>
  <w:num w:numId="11" w16cid:durableId="1436053329">
    <w:abstractNumId w:val="19"/>
  </w:num>
  <w:num w:numId="12" w16cid:durableId="1468474965">
    <w:abstractNumId w:val="5"/>
  </w:num>
  <w:num w:numId="13" w16cid:durableId="1163155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521623">
    <w:abstractNumId w:val="10"/>
  </w:num>
  <w:num w:numId="15" w16cid:durableId="865023387">
    <w:abstractNumId w:val="37"/>
  </w:num>
  <w:num w:numId="16" w16cid:durableId="887303433">
    <w:abstractNumId w:val="31"/>
  </w:num>
  <w:num w:numId="17" w16cid:durableId="1758211982">
    <w:abstractNumId w:val="1"/>
  </w:num>
  <w:num w:numId="18" w16cid:durableId="282737665">
    <w:abstractNumId w:val="8"/>
  </w:num>
  <w:num w:numId="19" w16cid:durableId="887685450">
    <w:abstractNumId w:val="26"/>
  </w:num>
  <w:num w:numId="20" w16cid:durableId="821776703">
    <w:abstractNumId w:val="32"/>
  </w:num>
  <w:num w:numId="21" w16cid:durableId="922379584">
    <w:abstractNumId w:val="12"/>
  </w:num>
  <w:num w:numId="22" w16cid:durableId="574516438">
    <w:abstractNumId w:val="2"/>
  </w:num>
  <w:num w:numId="23" w16cid:durableId="166603935">
    <w:abstractNumId w:val="25"/>
  </w:num>
  <w:num w:numId="24" w16cid:durableId="2088116188">
    <w:abstractNumId w:val="15"/>
  </w:num>
  <w:num w:numId="25" w16cid:durableId="1676834637">
    <w:abstractNumId w:val="30"/>
  </w:num>
  <w:num w:numId="26" w16cid:durableId="1120494751">
    <w:abstractNumId w:val="14"/>
  </w:num>
  <w:num w:numId="27" w16cid:durableId="2133668221">
    <w:abstractNumId w:val="0"/>
  </w:num>
  <w:num w:numId="28" w16cid:durableId="1266504011">
    <w:abstractNumId w:val="33"/>
  </w:num>
  <w:num w:numId="29" w16cid:durableId="1739815536">
    <w:abstractNumId w:val="21"/>
  </w:num>
  <w:num w:numId="30" w16cid:durableId="1719621948">
    <w:abstractNumId w:val="3"/>
  </w:num>
  <w:num w:numId="31" w16cid:durableId="781611947">
    <w:abstractNumId w:val="34"/>
  </w:num>
  <w:num w:numId="32" w16cid:durableId="1170411757">
    <w:abstractNumId w:val="7"/>
  </w:num>
  <w:num w:numId="33" w16cid:durableId="2096586344">
    <w:abstractNumId w:val="11"/>
  </w:num>
  <w:num w:numId="34" w16cid:durableId="1418213563">
    <w:abstractNumId w:val="24"/>
  </w:num>
  <w:num w:numId="35" w16cid:durableId="2077973885">
    <w:abstractNumId w:val="13"/>
  </w:num>
  <w:num w:numId="36" w16cid:durableId="1247031751">
    <w:abstractNumId w:val="9"/>
  </w:num>
  <w:num w:numId="37" w16cid:durableId="5060728">
    <w:abstractNumId w:val="24"/>
  </w:num>
  <w:num w:numId="38" w16cid:durableId="1564370514">
    <w:abstractNumId w:val="20"/>
  </w:num>
  <w:num w:numId="39" w16cid:durableId="1820728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D7"/>
    <w:rsid w:val="000061F2"/>
    <w:rsid w:val="0002162C"/>
    <w:rsid w:val="00022584"/>
    <w:rsid w:val="00023494"/>
    <w:rsid w:val="00023BD7"/>
    <w:rsid w:val="000242E7"/>
    <w:rsid w:val="00037DDF"/>
    <w:rsid w:val="0004257F"/>
    <w:rsid w:val="00056EF3"/>
    <w:rsid w:val="00063A26"/>
    <w:rsid w:val="00063E23"/>
    <w:rsid w:val="00063F4A"/>
    <w:rsid w:val="00064D82"/>
    <w:rsid w:val="00070977"/>
    <w:rsid w:val="00070B90"/>
    <w:rsid w:val="00076F11"/>
    <w:rsid w:val="000A1DDF"/>
    <w:rsid w:val="000A35CD"/>
    <w:rsid w:val="000C2F86"/>
    <w:rsid w:val="000C304C"/>
    <w:rsid w:val="000C3094"/>
    <w:rsid w:val="000C5A03"/>
    <w:rsid w:val="000D7B1F"/>
    <w:rsid w:val="000E300B"/>
    <w:rsid w:val="000E60EB"/>
    <w:rsid w:val="000F33A8"/>
    <w:rsid w:val="000F7281"/>
    <w:rsid w:val="00102CEE"/>
    <w:rsid w:val="00104BC6"/>
    <w:rsid w:val="0010759F"/>
    <w:rsid w:val="001102A8"/>
    <w:rsid w:val="001108AC"/>
    <w:rsid w:val="00114090"/>
    <w:rsid w:val="00114BE1"/>
    <w:rsid w:val="0011536E"/>
    <w:rsid w:val="001233D4"/>
    <w:rsid w:val="00125367"/>
    <w:rsid w:val="00131423"/>
    <w:rsid w:val="0013341D"/>
    <w:rsid w:val="00136440"/>
    <w:rsid w:val="00136E1A"/>
    <w:rsid w:val="00142793"/>
    <w:rsid w:val="00145341"/>
    <w:rsid w:val="00145D75"/>
    <w:rsid w:val="0014702A"/>
    <w:rsid w:val="00161D3F"/>
    <w:rsid w:val="00176A69"/>
    <w:rsid w:val="00177EA6"/>
    <w:rsid w:val="001801D7"/>
    <w:rsid w:val="001C067A"/>
    <w:rsid w:val="001D0DC0"/>
    <w:rsid w:val="001D1019"/>
    <w:rsid w:val="001D5070"/>
    <w:rsid w:val="001D78A3"/>
    <w:rsid w:val="001E11E0"/>
    <w:rsid w:val="001E21B4"/>
    <w:rsid w:val="001E2A24"/>
    <w:rsid w:val="001E4B2B"/>
    <w:rsid w:val="001F65FA"/>
    <w:rsid w:val="001F667A"/>
    <w:rsid w:val="001F7342"/>
    <w:rsid w:val="00212936"/>
    <w:rsid w:val="002151F0"/>
    <w:rsid w:val="00221B75"/>
    <w:rsid w:val="002264E3"/>
    <w:rsid w:val="002305BB"/>
    <w:rsid w:val="00246A8B"/>
    <w:rsid w:val="002518F2"/>
    <w:rsid w:val="002536EE"/>
    <w:rsid w:val="00260F1C"/>
    <w:rsid w:val="00266072"/>
    <w:rsid w:val="00280C2A"/>
    <w:rsid w:val="00282ADB"/>
    <w:rsid w:val="002A5FDC"/>
    <w:rsid w:val="002B49CD"/>
    <w:rsid w:val="002C7C8C"/>
    <w:rsid w:val="002E4589"/>
    <w:rsid w:val="002E5D77"/>
    <w:rsid w:val="002F12D7"/>
    <w:rsid w:val="002F1D6B"/>
    <w:rsid w:val="002F6163"/>
    <w:rsid w:val="00305260"/>
    <w:rsid w:val="00306B9A"/>
    <w:rsid w:val="0031265D"/>
    <w:rsid w:val="0031305C"/>
    <w:rsid w:val="00317361"/>
    <w:rsid w:val="00317AE8"/>
    <w:rsid w:val="003219DB"/>
    <w:rsid w:val="003223D3"/>
    <w:rsid w:val="003241E0"/>
    <w:rsid w:val="00324DC2"/>
    <w:rsid w:val="00345574"/>
    <w:rsid w:val="003474CB"/>
    <w:rsid w:val="00356458"/>
    <w:rsid w:val="00362A52"/>
    <w:rsid w:val="0036522E"/>
    <w:rsid w:val="00365812"/>
    <w:rsid w:val="00370518"/>
    <w:rsid w:val="00375252"/>
    <w:rsid w:val="0037549F"/>
    <w:rsid w:val="003767EE"/>
    <w:rsid w:val="003A493A"/>
    <w:rsid w:val="003B2A7A"/>
    <w:rsid w:val="003C2976"/>
    <w:rsid w:val="003C3D20"/>
    <w:rsid w:val="003C3FD9"/>
    <w:rsid w:val="003C6D43"/>
    <w:rsid w:val="003C78C8"/>
    <w:rsid w:val="003D26F7"/>
    <w:rsid w:val="003D3CDE"/>
    <w:rsid w:val="003D57C8"/>
    <w:rsid w:val="003F5734"/>
    <w:rsid w:val="00414845"/>
    <w:rsid w:val="00422A5F"/>
    <w:rsid w:val="00424857"/>
    <w:rsid w:val="004248B6"/>
    <w:rsid w:val="00430783"/>
    <w:rsid w:val="004343D8"/>
    <w:rsid w:val="004367FA"/>
    <w:rsid w:val="004534ED"/>
    <w:rsid w:val="0045678A"/>
    <w:rsid w:val="00461EA3"/>
    <w:rsid w:val="004740E0"/>
    <w:rsid w:val="00476FB6"/>
    <w:rsid w:val="00480602"/>
    <w:rsid w:val="004823BF"/>
    <w:rsid w:val="0048387A"/>
    <w:rsid w:val="0048792D"/>
    <w:rsid w:val="004937FF"/>
    <w:rsid w:val="004A1F01"/>
    <w:rsid w:val="004A3481"/>
    <w:rsid w:val="004A6289"/>
    <w:rsid w:val="004B1C6D"/>
    <w:rsid w:val="004B627C"/>
    <w:rsid w:val="004C08EB"/>
    <w:rsid w:val="004D6A75"/>
    <w:rsid w:val="004F25EF"/>
    <w:rsid w:val="004F5494"/>
    <w:rsid w:val="0050169E"/>
    <w:rsid w:val="00511108"/>
    <w:rsid w:val="0051357C"/>
    <w:rsid w:val="00536B85"/>
    <w:rsid w:val="00552346"/>
    <w:rsid w:val="005545B2"/>
    <w:rsid w:val="00556767"/>
    <w:rsid w:val="005650E0"/>
    <w:rsid w:val="00565136"/>
    <w:rsid w:val="005702FA"/>
    <w:rsid w:val="00574D5C"/>
    <w:rsid w:val="00582707"/>
    <w:rsid w:val="0058763E"/>
    <w:rsid w:val="005B43EA"/>
    <w:rsid w:val="005B7ED3"/>
    <w:rsid w:val="005C1163"/>
    <w:rsid w:val="005C4D45"/>
    <w:rsid w:val="005D07EC"/>
    <w:rsid w:val="005D2E12"/>
    <w:rsid w:val="005E3DD9"/>
    <w:rsid w:val="005E5CE8"/>
    <w:rsid w:val="005F0467"/>
    <w:rsid w:val="00605A79"/>
    <w:rsid w:val="00607747"/>
    <w:rsid w:val="00611C70"/>
    <w:rsid w:val="00612AE8"/>
    <w:rsid w:val="00615828"/>
    <w:rsid w:val="00615CE1"/>
    <w:rsid w:val="006307F3"/>
    <w:rsid w:val="00654BE1"/>
    <w:rsid w:val="00654EB0"/>
    <w:rsid w:val="00655544"/>
    <w:rsid w:val="00656234"/>
    <w:rsid w:val="00657001"/>
    <w:rsid w:val="00667580"/>
    <w:rsid w:val="00670A22"/>
    <w:rsid w:val="00680648"/>
    <w:rsid w:val="00682370"/>
    <w:rsid w:val="00683CCA"/>
    <w:rsid w:val="00694E35"/>
    <w:rsid w:val="006A2D0B"/>
    <w:rsid w:val="006A3E48"/>
    <w:rsid w:val="006B3274"/>
    <w:rsid w:val="006B6B0C"/>
    <w:rsid w:val="006B6DAE"/>
    <w:rsid w:val="006B79A9"/>
    <w:rsid w:val="006C29C0"/>
    <w:rsid w:val="006C5EB4"/>
    <w:rsid w:val="006E7BF5"/>
    <w:rsid w:val="006F444D"/>
    <w:rsid w:val="006F5953"/>
    <w:rsid w:val="007042F9"/>
    <w:rsid w:val="00705157"/>
    <w:rsid w:val="0071064E"/>
    <w:rsid w:val="00713119"/>
    <w:rsid w:val="007136FB"/>
    <w:rsid w:val="00715A9E"/>
    <w:rsid w:val="00721038"/>
    <w:rsid w:val="00731730"/>
    <w:rsid w:val="007446CF"/>
    <w:rsid w:val="00747D99"/>
    <w:rsid w:val="00750E0F"/>
    <w:rsid w:val="0075108C"/>
    <w:rsid w:val="00751E1F"/>
    <w:rsid w:val="00774896"/>
    <w:rsid w:val="00782B71"/>
    <w:rsid w:val="00785CC0"/>
    <w:rsid w:val="007874D7"/>
    <w:rsid w:val="0079682F"/>
    <w:rsid w:val="00796B86"/>
    <w:rsid w:val="007B3637"/>
    <w:rsid w:val="007B4015"/>
    <w:rsid w:val="007B68A6"/>
    <w:rsid w:val="007C39E5"/>
    <w:rsid w:val="007C4C39"/>
    <w:rsid w:val="007C73D3"/>
    <w:rsid w:val="007D2382"/>
    <w:rsid w:val="007D40F3"/>
    <w:rsid w:val="007E0F20"/>
    <w:rsid w:val="007E10EA"/>
    <w:rsid w:val="007E23E1"/>
    <w:rsid w:val="007E5E52"/>
    <w:rsid w:val="007F4846"/>
    <w:rsid w:val="0080007B"/>
    <w:rsid w:val="00802013"/>
    <w:rsid w:val="00802C05"/>
    <w:rsid w:val="00806592"/>
    <w:rsid w:val="0080733A"/>
    <w:rsid w:val="00810DB2"/>
    <w:rsid w:val="00815FDF"/>
    <w:rsid w:val="00822180"/>
    <w:rsid w:val="00822E09"/>
    <w:rsid w:val="00830A03"/>
    <w:rsid w:val="008311B3"/>
    <w:rsid w:val="00832123"/>
    <w:rsid w:val="0083259F"/>
    <w:rsid w:val="00836AE9"/>
    <w:rsid w:val="00837BC1"/>
    <w:rsid w:val="00840C32"/>
    <w:rsid w:val="00847620"/>
    <w:rsid w:val="00851BD2"/>
    <w:rsid w:val="008668C9"/>
    <w:rsid w:val="008724ED"/>
    <w:rsid w:val="00874046"/>
    <w:rsid w:val="0087634E"/>
    <w:rsid w:val="00881EF9"/>
    <w:rsid w:val="008865A7"/>
    <w:rsid w:val="0088782B"/>
    <w:rsid w:val="008954A2"/>
    <w:rsid w:val="00895BFE"/>
    <w:rsid w:val="00895EE3"/>
    <w:rsid w:val="008A2997"/>
    <w:rsid w:val="008A3FEE"/>
    <w:rsid w:val="008B0848"/>
    <w:rsid w:val="008B416D"/>
    <w:rsid w:val="008B7E61"/>
    <w:rsid w:val="008C3097"/>
    <w:rsid w:val="008D4345"/>
    <w:rsid w:val="008E2382"/>
    <w:rsid w:val="008F038B"/>
    <w:rsid w:val="00903FBA"/>
    <w:rsid w:val="0090467A"/>
    <w:rsid w:val="00914F1C"/>
    <w:rsid w:val="009238F1"/>
    <w:rsid w:val="00927E92"/>
    <w:rsid w:val="00931437"/>
    <w:rsid w:val="00931F84"/>
    <w:rsid w:val="009367F3"/>
    <w:rsid w:val="00940107"/>
    <w:rsid w:val="00945400"/>
    <w:rsid w:val="00955D04"/>
    <w:rsid w:val="00971D64"/>
    <w:rsid w:val="00972711"/>
    <w:rsid w:val="009752A7"/>
    <w:rsid w:val="00975E7A"/>
    <w:rsid w:val="0097782E"/>
    <w:rsid w:val="009800B8"/>
    <w:rsid w:val="00982A34"/>
    <w:rsid w:val="00986E2F"/>
    <w:rsid w:val="009914A1"/>
    <w:rsid w:val="00993F58"/>
    <w:rsid w:val="009942C5"/>
    <w:rsid w:val="00994D5B"/>
    <w:rsid w:val="00997138"/>
    <w:rsid w:val="009A5491"/>
    <w:rsid w:val="009A5BE2"/>
    <w:rsid w:val="009A65ED"/>
    <w:rsid w:val="009C392E"/>
    <w:rsid w:val="009D5EE3"/>
    <w:rsid w:val="009E00C1"/>
    <w:rsid w:val="00A00DB7"/>
    <w:rsid w:val="00A05B20"/>
    <w:rsid w:val="00A113DE"/>
    <w:rsid w:val="00A117D3"/>
    <w:rsid w:val="00A13C52"/>
    <w:rsid w:val="00A141AB"/>
    <w:rsid w:val="00A2029C"/>
    <w:rsid w:val="00A257E8"/>
    <w:rsid w:val="00A2729A"/>
    <w:rsid w:val="00A319E5"/>
    <w:rsid w:val="00A37BED"/>
    <w:rsid w:val="00A5032A"/>
    <w:rsid w:val="00A5138C"/>
    <w:rsid w:val="00A52129"/>
    <w:rsid w:val="00A6149E"/>
    <w:rsid w:val="00A66A70"/>
    <w:rsid w:val="00A702C9"/>
    <w:rsid w:val="00A80B33"/>
    <w:rsid w:val="00A8778D"/>
    <w:rsid w:val="00A87AA0"/>
    <w:rsid w:val="00A91360"/>
    <w:rsid w:val="00A93122"/>
    <w:rsid w:val="00AA4E52"/>
    <w:rsid w:val="00AB4467"/>
    <w:rsid w:val="00AC2DDB"/>
    <w:rsid w:val="00AC5D0F"/>
    <w:rsid w:val="00AD7B75"/>
    <w:rsid w:val="00AE502F"/>
    <w:rsid w:val="00AE6A81"/>
    <w:rsid w:val="00AF385E"/>
    <w:rsid w:val="00AF4300"/>
    <w:rsid w:val="00B03782"/>
    <w:rsid w:val="00B055D4"/>
    <w:rsid w:val="00B1118D"/>
    <w:rsid w:val="00B12D6D"/>
    <w:rsid w:val="00B145C6"/>
    <w:rsid w:val="00B15C78"/>
    <w:rsid w:val="00B23514"/>
    <w:rsid w:val="00B27BBA"/>
    <w:rsid w:val="00B27EDE"/>
    <w:rsid w:val="00B30899"/>
    <w:rsid w:val="00B32212"/>
    <w:rsid w:val="00B33D07"/>
    <w:rsid w:val="00B34256"/>
    <w:rsid w:val="00B663E7"/>
    <w:rsid w:val="00B67881"/>
    <w:rsid w:val="00B70349"/>
    <w:rsid w:val="00B7285D"/>
    <w:rsid w:val="00B7634B"/>
    <w:rsid w:val="00B84240"/>
    <w:rsid w:val="00B846E1"/>
    <w:rsid w:val="00B87CB3"/>
    <w:rsid w:val="00B87D55"/>
    <w:rsid w:val="00B90351"/>
    <w:rsid w:val="00B91D8B"/>
    <w:rsid w:val="00B9282C"/>
    <w:rsid w:val="00BA13E9"/>
    <w:rsid w:val="00BA362A"/>
    <w:rsid w:val="00BB2F67"/>
    <w:rsid w:val="00BC03FB"/>
    <w:rsid w:val="00BC118F"/>
    <w:rsid w:val="00BC60C4"/>
    <w:rsid w:val="00BD4E4F"/>
    <w:rsid w:val="00BE356F"/>
    <w:rsid w:val="00C0188C"/>
    <w:rsid w:val="00C06CCB"/>
    <w:rsid w:val="00C076BA"/>
    <w:rsid w:val="00C207BB"/>
    <w:rsid w:val="00C20C02"/>
    <w:rsid w:val="00C21081"/>
    <w:rsid w:val="00C21F87"/>
    <w:rsid w:val="00C26A2E"/>
    <w:rsid w:val="00C27057"/>
    <w:rsid w:val="00C302E7"/>
    <w:rsid w:val="00C34BA7"/>
    <w:rsid w:val="00C36FF0"/>
    <w:rsid w:val="00C4140C"/>
    <w:rsid w:val="00C42BE8"/>
    <w:rsid w:val="00C4390B"/>
    <w:rsid w:val="00C52F0A"/>
    <w:rsid w:val="00C602C8"/>
    <w:rsid w:val="00C65562"/>
    <w:rsid w:val="00C7053D"/>
    <w:rsid w:val="00C71671"/>
    <w:rsid w:val="00C71768"/>
    <w:rsid w:val="00C80D01"/>
    <w:rsid w:val="00C81503"/>
    <w:rsid w:val="00C8364D"/>
    <w:rsid w:val="00CA0166"/>
    <w:rsid w:val="00CC6FEC"/>
    <w:rsid w:val="00CD3E52"/>
    <w:rsid w:val="00CE2413"/>
    <w:rsid w:val="00CF5CFC"/>
    <w:rsid w:val="00CF67E9"/>
    <w:rsid w:val="00CF7002"/>
    <w:rsid w:val="00D024B4"/>
    <w:rsid w:val="00D06EF7"/>
    <w:rsid w:val="00D07C46"/>
    <w:rsid w:val="00D217A3"/>
    <w:rsid w:val="00D402F9"/>
    <w:rsid w:val="00D4228A"/>
    <w:rsid w:val="00D43D88"/>
    <w:rsid w:val="00D43E19"/>
    <w:rsid w:val="00D52253"/>
    <w:rsid w:val="00D55955"/>
    <w:rsid w:val="00D573B7"/>
    <w:rsid w:val="00D612F4"/>
    <w:rsid w:val="00D65F18"/>
    <w:rsid w:val="00D75097"/>
    <w:rsid w:val="00D878E7"/>
    <w:rsid w:val="00D913DF"/>
    <w:rsid w:val="00D91EAE"/>
    <w:rsid w:val="00DA010E"/>
    <w:rsid w:val="00DB361D"/>
    <w:rsid w:val="00DB4263"/>
    <w:rsid w:val="00DB4D92"/>
    <w:rsid w:val="00DC0282"/>
    <w:rsid w:val="00DC0446"/>
    <w:rsid w:val="00DD6BFD"/>
    <w:rsid w:val="00DE612A"/>
    <w:rsid w:val="00DE7022"/>
    <w:rsid w:val="00DE7443"/>
    <w:rsid w:val="00E066CC"/>
    <w:rsid w:val="00E1489F"/>
    <w:rsid w:val="00E14907"/>
    <w:rsid w:val="00E241DD"/>
    <w:rsid w:val="00E24E9E"/>
    <w:rsid w:val="00E30A02"/>
    <w:rsid w:val="00E31294"/>
    <w:rsid w:val="00E31AFF"/>
    <w:rsid w:val="00E31BB3"/>
    <w:rsid w:val="00E372FC"/>
    <w:rsid w:val="00E409E8"/>
    <w:rsid w:val="00E44A68"/>
    <w:rsid w:val="00E50D51"/>
    <w:rsid w:val="00E520E6"/>
    <w:rsid w:val="00E55DD4"/>
    <w:rsid w:val="00E6654C"/>
    <w:rsid w:val="00EA01DE"/>
    <w:rsid w:val="00EA2C6E"/>
    <w:rsid w:val="00EA2CA1"/>
    <w:rsid w:val="00EA724F"/>
    <w:rsid w:val="00EB215B"/>
    <w:rsid w:val="00EB4520"/>
    <w:rsid w:val="00EC0E86"/>
    <w:rsid w:val="00EC26FF"/>
    <w:rsid w:val="00EC6231"/>
    <w:rsid w:val="00EE3E6D"/>
    <w:rsid w:val="00EF5005"/>
    <w:rsid w:val="00F10F15"/>
    <w:rsid w:val="00F16D2E"/>
    <w:rsid w:val="00F2587A"/>
    <w:rsid w:val="00F36071"/>
    <w:rsid w:val="00F60458"/>
    <w:rsid w:val="00F73290"/>
    <w:rsid w:val="00F75524"/>
    <w:rsid w:val="00F83A28"/>
    <w:rsid w:val="00F91A5B"/>
    <w:rsid w:val="00F921E1"/>
    <w:rsid w:val="00F96CC5"/>
    <w:rsid w:val="00FA5B9F"/>
    <w:rsid w:val="00FB199D"/>
    <w:rsid w:val="00FB2EED"/>
    <w:rsid w:val="00FB5326"/>
    <w:rsid w:val="00FC65F3"/>
    <w:rsid w:val="00FE0DF9"/>
    <w:rsid w:val="0AD82928"/>
    <w:rsid w:val="0C5EC0CF"/>
    <w:rsid w:val="0DBCBD7E"/>
    <w:rsid w:val="0DED0B18"/>
    <w:rsid w:val="0EB7D584"/>
    <w:rsid w:val="1103A0D9"/>
    <w:rsid w:val="1189B585"/>
    <w:rsid w:val="131B189E"/>
    <w:rsid w:val="15461E3B"/>
    <w:rsid w:val="1768CAC3"/>
    <w:rsid w:val="1DC9CCAF"/>
    <w:rsid w:val="1E694D9D"/>
    <w:rsid w:val="1F10C52E"/>
    <w:rsid w:val="2D2CFA46"/>
    <w:rsid w:val="2FCD95A0"/>
    <w:rsid w:val="30827827"/>
    <w:rsid w:val="30E10BBA"/>
    <w:rsid w:val="3B3C3942"/>
    <w:rsid w:val="3E40F89D"/>
    <w:rsid w:val="3F6C9AF5"/>
    <w:rsid w:val="4048F5A3"/>
    <w:rsid w:val="462B59E5"/>
    <w:rsid w:val="49B6CFE4"/>
    <w:rsid w:val="4E39F8F6"/>
    <w:rsid w:val="4E8A4107"/>
    <w:rsid w:val="5B2B6B7D"/>
    <w:rsid w:val="5DDF2F06"/>
    <w:rsid w:val="5DE1A11A"/>
    <w:rsid w:val="61A90ED8"/>
    <w:rsid w:val="631D5410"/>
    <w:rsid w:val="63DC617E"/>
    <w:rsid w:val="63F80BF3"/>
    <w:rsid w:val="65EA40EB"/>
    <w:rsid w:val="664DEEE2"/>
    <w:rsid w:val="67DFA7A9"/>
    <w:rsid w:val="6A42F7E2"/>
    <w:rsid w:val="6D4D4562"/>
    <w:rsid w:val="74FEC0EA"/>
    <w:rsid w:val="751AE83C"/>
    <w:rsid w:val="78F3A600"/>
    <w:rsid w:val="7A12A00D"/>
    <w:rsid w:val="7B6E026E"/>
    <w:rsid w:val="7C0EBAC9"/>
    <w:rsid w:val="7D48F574"/>
    <w:rsid w:val="7D4A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7CB08A"/>
  <w15:chartTrackingRefBased/>
  <w15:docId w15:val="{830EBCE6-B296-46FD-AE26-9CA031FB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53D"/>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US" w:eastAsia="en-US" w:bidi="ar-SA"/>
    </w:rPr>
  </w:style>
  <w:style w:type="paragraph" w:styleId="Title">
    <w:name w:val="Title"/>
    <w:basedOn w:val="Normal"/>
    <w:link w:val="TitleChar"/>
    <w:qFormat/>
    <w:pPr>
      <w:jc w:val="center"/>
    </w:pPr>
    <w:rPr>
      <w:b/>
      <w:bCs/>
    </w:rPr>
  </w:style>
  <w:style w:type="character" w:customStyle="1" w:styleId="TitleChar">
    <w:name w:val="Title Char"/>
    <w:link w:val="Title"/>
    <w:rPr>
      <w:b/>
      <w:bCs/>
      <w:sz w:val="24"/>
      <w:szCs w:val="24"/>
      <w:lang w:val="en-US" w:eastAsia="en-US" w:bidi="ar-SA"/>
    </w:rPr>
  </w:style>
  <w:style w:type="paragraph" w:styleId="TOC1">
    <w:name w:val="toc 1"/>
    <w:basedOn w:val="Normal"/>
    <w:next w:val="Normal"/>
    <w:autoRedefine/>
    <w:semiHidden/>
    <w:pPr>
      <w:widowControl w:val="0"/>
      <w:tabs>
        <w:tab w:val="left" w:pos="720"/>
        <w:tab w:val="left" w:pos="960"/>
        <w:tab w:val="right" w:leader="dot" w:pos="8626"/>
      </w:tabs>
      <w:adjustRightInd w:val="0"/>
      <w:ind w:right="720"/>
      <w:jc w:val="both"/>
      <w:textAlignment w:val="baseline"/>
    </w:pPr>
    <w:rPr>
      <w:caps/>
      <w:noProof/>
    </w:rPr>
  </w:style>
  <w:style w:type="paragraph" w:styleId="BodyText2">
    <w:name w:val="Body Text 2"/>
    <w:basedOn w:val="Normal"/>
    <w:link w:val="BodyText2Char"/>
    <w:semiHidden/>
    <w:pPr>
      <w:spacing w:line="480" w:lineRule="auto"/>
      <w:jc w:val="both"/>
    </w:pPr>
    <w:rPr>
      <w:rFonts w:ascii="Arial" w:hAnsi="Arial" w:cs="Arial"/>
      <w:bCs/>
      <w:color w:val="000000"/>
      <w:sz w:val="22"/>
    </w:rPr>
  </w:style>
  <w:style w:type="character" w:customStyle="1" w:styleId="BodyText2Char">
    <w:name w:val="Body Text 2 Char"/>
    <w:link w:val="BodyText2"/>
    <w:semiHidden/>
    <w:rPr>
      <w:rFonts w:ascii="Arial" w:hAnsi="Arial" w:cs="Arial"/>
      <w:bCs/>
      <w:color w:val="000000"/>
      <w:sz w:val="22"/>
      <w:szCs w:val="24"/>
      <w:lang w:val="en-US" w:eastAsia="en-US" w:bidi="ar-S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lang w:val="en-US" w:eastAsia="en-US" w:bidi="ar-SA"/>
    </w:rPr>
  </w:style>
  <w:style w:type="character" w:styleId="PageNumber">
    <w:name w:val="page number"/>
    <w:basedOn w:val="DefaultParagraphFont"/>
    <w:semiHidden/>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sz w:val="20"/>
      <w:szCs w:val="20"/>
    </w:rPr>
  </w:style>
  <w:style w:type="paragraph" w:customStyle="1" w:styleId="TestimonyAnswer">
    <w:name w:val="Testimony Answer"/>
    <w:basedOn w:val="Normal"/>
    <w:link w:val="TestimonyAnswerChar"/>
    <w:qFormat/>
    <w:pPr>
      <w:spacing w:line="480" w:lineRule="auto"/>
      <w:ind w:left="720" w:hanging="720"/>
      <w:jc w:val="both"/>
    </w:pPr>
    <w:rPr>
      <w:rFonts w:eastAsia="Calibri"/>
      <w:bCs/>
      <w:szCs w:val="22"/>
    </w:rPr>
  </w:style>
  <w:style w:type="character" w:customStyle="1" w:styleId="TestimonyAnswerChar">
    <w:name w:val="Testimony Answer Char"/>
    <w:link w:val="TestimonyAnswer"/>
    <w:rPr>
      <w:rFonts w:eastAsia="Calibri"/>
      <w:bCs/>
      <w:sz w:val="24"/>
      <w:szCs w:val="22"/>
      <w:lang w:val="en-US" w:eastAsia="en-US"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B33D07"/>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paragraph" w:styleId="Caption">
    <w:name w:val="caption"/>
    <w:basedOn w:val="Normal"/>
    <w:next w:val="Normal"/>
    <w:qFormat/>
    <w:pPr>
      <w:jc w:val="center"/>
    </w:pPr>
    <w:rPr>
      <w:b/>
      <w:bCs/>
      <w:szCs w:val="20"/>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character" w:styleId="FootnoteReference">
    <w:name w:val="footnote reference"/>
    <w:aliases w:val="fr,Style 28,Style 11,Style 9,Style 3"/>
    <w:rPr>
      <w:vertAlign w:val="superscript"/>
    </w:rPr>
  </w:style>
  <w:style w:type="paragraph" w:styleId="FootnoteText">
    <w:name w:val="footnote text"/>
    <w:aliases w:val="Footnote Text Char1 Char,Footnote Text Char Char Char,Footnote Text Char1,Footnote Text Char Char1,fn,ft Char,Car,Footnote Text Char Char"/>
    <w:basedOn w:val="Normal"/>
    <w:link w:val="FootnoteTextChar"/>
    <w:pPr>
      <w:widowControl w:val="0"/>
      <w:spacing w:after="120"/>
      <w:ind w:left="720" w:hanging="720"/>
      <w:jc w:val="both"/>
    </w:pPr>
    <w:rPr>
      <w:snapToGrid w:val="0"/>
      <w:sz w:val="20"/>
      <w:szCs w:val="20"/>
      <w:lang w:val="x-none" w:eastAsia="x-none"/>
    </w:rPr>
  </w:style>
  <w:style w:type="character" w:customStyle="1" w:styleId="FootnoteTextChar">
    <w:name w:val="Footnote Text Char"/>
    <w:aliases w:val="Footnote Text Char1 Char Char,Footnote Text Char Char Char Char,Footnote Text Char1 Char1,Footnote Text Char Char1 Char,fn Char,ft Char Char,Car Char,Footnote Text Char Char Char1"/>
    <w:link w:val="FootnoteText"/>
    <w:rPr>
      <w:snapToGrid w:val="0"/>
    </w:rPr>
  </w:style>
  <w:style w:type="character" w:customStyle="1" w:styleId="BodyText21">
    <w:name w:val="Body Text 21"/>
    <w:rPr>
      <w:rFonts w:ascii="Times New Roman" w:hAnsi="Times New Roman"/>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character" w:customStyle="1" w:styleId="TestimonyAnswerChar1">
    <w:name w:val="Testimony Answer Char1"/>
    <w:rPr>
      <w:rFonts w:eastAsia="Calibri"/>
      <w:bCs/>
      <w:sz w:val="24"/>
      <w:szCs w:val="22"/>
    </w:rPr>
  </w:style>
  <w:style w:type="character" w:styleId="Hyperlink">
    <w:name w:val="Hyperlink"/>
    <w:uiPriority w:val="99"/>
    <w:unhideWhenUsed/>
    <w:rPr>
      <w:color w:val="0000FF"/>
      <w:u w:val="single"/>
    </w:rPr>
  </w:style>
  <w:style w:type="paragraph" w:customStyle="1" w:styleId="StyleBodyTextIndentLinespacingMultiple165li">
    <w:name w:val="Style Body Text Indent + Line spacing:  Multiple 1.65 li"/>
    <w:basedOn w:val="Normal"/>
    <w:pPr>
      <w:numPr>
        <w:numId w:val="13"/>
      </w:numPr>
      <w:tabs>
        <w:tab w:val="num" w:pos="360"/>
      </w:tabs>
      <w:spacing w:line="420" w:lineRule="auto"/>
      <w:ind w:left="360" w:hanging="360"/>
      <w:jc w:val="both"/>
    </w:pPr>
    <w:rPr>
      <w:rFonts w:ascii="Georgia" w:hAnsi="Georgia"/>
      <w:kern w:val="16"/>
      <w:sz w:val="22"/>
      <w:szCs w:val="20"/>
    </w:rPr>
  </w:style>
  <w:style w:type="character" w:customStyle="1" w:styleId="FootnoteTextChar2">
    <w:name w:val="Footnote Text Char2"/>
    <w:aliases w:val="Footnote Text Char1 Char Char1,Footnote Text Char Char Char Char1,Footnote Text Char1 Char2,Footnote Text Char Char1 Char1,fn Char1,ft Char Char1,Car Char1"/>
    <w:locked/>
    <w:rsid w:val="00E30A02"/>
    <w:rPr>
      <w:snapToGrid w:val="0"/>
    </w:rPr>
  </w:style>
  <w:style w:type="paragraph" w:styleId="Revision">
    <w:name w:val="Revision"/>
    <w:hidden/>
    <w:uiPriority w:val="99"/>
    <w:semiHidden/>
    <w:rsid w:val="0048387A"/>
    <w:rPr>
      <w:sz w:val="24"/>
      <w:szCs w:val="24"/>
    </w:rPr>
  </w:style>
  <w:style w:type="character" w:styleId="FollowedHyperlink">
    <w:name w:val="FollowedHyperlink"/>
    <w:uiPriority w:val="99"/>
    <w:unhideWhenUsed/>
    <w:rsid w:val="00C06CCB"/>
    <w:rPr>
      <w:color w:val="800080"/>
      <w:u w:val="single"/>
    </w:rPr>
  </w:style>
  <w:style w:type="character" w:styleId="Mention">
    <w:name w:val="Mention"/>
    <w:uiPriority w:val="99"/>
    <w:unhideWhenUsed/>
    <w:rsid w:val="0004257F"/>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odyTextLinespacingMultiple165li">
    <w:name w:val="Style Body Text + Line spacing:  Multiple 1.65 li"/>
    <w:rsid w:val="00C34BA7"/>
    <w:pPr>
      <w:pBdr>
        <w:top w:val="nil"/>
        <w:left w:val="nil"/>
        <w:bottom w:val="nil"/>
        <w:right w:val="nil"/>
        <w:between w:val="nil"/>
        <w:bar w:val="nil"/>
      </w:pBdr>
      <w:spacing w:line="420" w:lineRule="auto"/>
      <w:ind w:firstLine="720"/>
      <w:jc w:val="both"/>
    </w:pPr>
    <w:rPr>
      <w:rFonts w:ascii="Georgia" w:eastAsia="Arial Unicode MS" w:hAnsi="Georgia" w:cs="Arial Unicode MS"/>
      <w:color w:val="000000"/>
      <w:kern w:val="16"/>
      <w:sz w:val="22"/>
      <w:szCs w:val="22"/>
      <w:u w:color="000000"/>
      <w:bdr w:val="nil"/>
    </w:rPr>
  </w:style>
  <w:style w:type="character" w:styleId="UnresolvedMention">
    <w:name w:val="Unresolved Mention"/>
    <w:basedOn w:val="DefaultParagraphFont"/>
    <w:uiPriority w:val="99"/>
    <w:semiHidden/>
    <w:unhideWhenUsed/>
    <w:rsid w:val="00C3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8364">
      <w:bodyDiv w:val="1"/>
      <w:marLeft w:val="0"/>
      <w:marRight w:val="0"/>
      <w:marTop w:val="0"/>
      <w:marBottom w:val="0"/>
      <w:divBdr>
        <w:top w:val="none" w:sz="0" w:space="0" w:color="auto"/>
        <w:left w:val="none" w:sz="0" w:space="0" w:color="auto"/>
        <w:bottom w:val="none" w:sz="0" w:space="0" w:color="auto"/>
        <w:right w:val="none" w:sz="0" w:space="0" w:color="auto"/>
      </w:divBdr>
    </w:div>
    <w:div w:id="91245803">
      <w:bodyDiv w:val="1"/>
      <w:marLeft w:val="0"/>
      <w:marRight w:val="0"/>
      <w:marTop w:val="0"/>
      <w:marBottom w:val="0"/>
      <w:divBdr>
        <w:top w:val="none" w:sz="0" w:space="0" w:color="auto"/>
        <w:left w:val="none" w:sz="0" w:space="0" w:color="auto"/>
        <w:bottom w:val="none" w:sz="0" w:space="0" w:color="auto"/>
        <w:right w:val="none" w:sz="0" w:space="0" w:color="auto"/>
      </w:divBdr>
    </w:div>
    <w:div w:id="254441217">
      <w:bodyDiv w:val="1"/>
      <w:marLeft w:val="0"/>
      <w:marRight w:val="0"/>
      <w:marTop w:val="0"/>
      <w:marBottom w:val="0"/>
      <w:divBdr>
        <w:top w:val="none" w:sz="0" w:space="0" w:color="auto"/>
        <w:left w:val="none" w:sz="0" w:space="0" w:color="auto"/>
        <w:bottom w:val="none" w:sz="0" w:space="0" w:color="auto"/>
        <w:right w:val="none" w:sz="0" w:space="0" w:color="auto"/>
      </w:divBdr>
    </w:div>
    <w:div w:id="329528584">
      <w:bodyDiv w:val="1"/>
      <w:marLeft w:val="0"/>
      <w:marRight w:val="0"/>
      <w:marTop w:val="0"/>
      <w:marBottom w:val="0"/>
      <w:divBdr>
        <w:top w:val="none" w:sz="0" w:space="0" w:color="auto"/>
        <w:left w:val="none" w:sz="0" w:space="0" w:color="auto"/>
        <w:bottom w:val="none" w:sz="0" w:space="0" w:color="auto"/>
        <w:right w:val="none" w:sz="0" w:space="0" w:color="auto"/>
      </w:divBdr>
    </w:div>
    <w:div w:id="658969714">
      <w:bodyDiv w:val="1"/>
      <w:marLeft w:val="0"/>
      <w:marRight w:val="0"/>
      <w:marTop w:val="0"/>
      <w:marBottom w:val="0"/>
      <w:divBdr>
        <w:top w:val="none" w:sz="0" w:space="0" w:color="auto"/>
        <w:left w:val="none" w:sz="0" w:space="0" w:color="auto"/>
        <w:bottom w:val="none" w:sz="0" w:space="0" w:color="auto"/>
        <w:right w:val="none" w:sz="0" w:space="0" w:color="auto"/>
      </w:divBdr>
    </w:div>
    <w:div w:id="706755392">
      <w:bodyDiv w:val="1"/>
      <w:marLeft w:val="0"/>
      <w:marRight w:val="0"/>
      <w:marTop w:val="0"/>
      <w:marBottom w:val="0"/>
      <w:divBdr>
        <w:top w:val="none" w:sz="0" w:space="0" w:color="auto"/>
        <w:left w:val="none" w:sz="0" w:space="0" w:color="auto"/>
        <w:bottom w:val="none" w:sz="0" w:space="0" w:color="auto"/>
        <w:right w:val="none" w:sz="0" w:space="0" w:color="auto"/>
      </w:divBdr>
    </w:div>
    <w:div w:id="936332371">
      <w:bodyDiv w:val="1"/>
      <w:marLeft w:val="0"/>
      <w:marRight w:val="0"/>
      <w:marTop w:val="0"/>
      <w:marBottom w:val="0"/>
      <w:divBdr>
        <w:top w:val="none" w:sz="0" w:space="0" w:color="auto"/>
        <w:left w:val="none" w:sz="0" w:space="0" w:color="auto"/>
        <w:bottom w:val="none" w:sz="0" w:space="0" w:color="auto"/>
        <w:right w:val="none" w:sz="0" w:space="0" w:color="auto"/>
      </w:divBdr>
    </w:div>
    <w:div w:id="1300037952">
      <w:bodyDiv w:val="1"/>
      <w:marLeft w:val="0"/>
      <w:marRight w:val="0"/>
      <w:marTop w:val="0"/>
      <w:marBottom w:val="0"/>
      <w:divBdr>
        <w:top w:val="none" w:sz="0" w:space="0" w:color="auto"/>
        <w:left w:val="none" w:sz="0" w:space="0" w:color="auto"/>
        <w:bottom w:val="none" w:sz="0" w:space="0" w:color="auto"/>
        <w:right w:val="none" w:sz="0" w:space="0" w:color="auto"/>
      </w:divBdr>
    </w:div>
    <w:div w:id="1511799246">
      <w:bodyDiv w:val="1"/>
      <w:marLeft w:val="0"/>
      <w:marRight w:val="0"/>
      <w:marTop w:val="0"/>
      <w:marBottom w:val="0"/>
      <w:divBdr>
        <w:top w:val="none" w:sz="0" w:space="0" w:color="auto"/>
        <w:left w:val="none" w:sz="0" w:space="0" w:color="auto"/>
        <w:bottom w:val="none" w:sz="0" w:space="0" w:color="auto"/>
        <w:right w:val="none" w:sz="0" w:space="0" w:color="auto"/>
      </w:divBdr>
    </w:div>
    <w:div w:id="1533037562">
      <w:bodyDiv w:val="1"/>
      <w:marLeft w:val="0"/>
      <w:marRight w:val="0"/>
      <w:marTop w:val="0"/>
      <w:marBottom w:val="0"/>
      <w:divBdr>
        <w:top w:val="none" w:sz="0" w:space="0" w:color="auto"/>
        <w:left w:val="none" w:sz="0" w:space="0" w:color="auto"/>
        <w:bottom w:val="none" w:sz="0" w:space="0" w:color="auto"/>
        <w:right w:val="none" w:sz="0" w:space="0" w:color="auto"/>
      </w:divBdr>
    </w:div>
    <w:div w:id="1803646657">
      <w:bodyDiv w:val="1"/>
      <w:marLeft w:val="0"/>
      <w:marRight w:val="0"/>
      <w:marTop w:val="0"/>
      <w:marBottom w:val="0"/>
      <w:divBdr>
        <w:top w:val="none" w:sz="0" w:space="0" w:color="auto"/>
        <w:left w:val="none" w:sz="0" w:space="0" w:color="auto"/>
        <w:bottom w:val="none" w:sz="0" w:space="0" w:color="auto"/>
        <w:right w:val="none" w:sz="0" w:space="0" w:color="auto"/>
      </w:divBdr>
    </w:div>
    <w:div w:id="1970088593">
      <w:bodyDiv w:val="1"/>
      <w:marLeft w:val="0"/>
      <w:marRight w:val="0"/>
      <w:marTop w:val="0"/>
      <w:marBottom w:val="0"/>
      <w:divBdr>
        <w:top w:val="none" w:sz="0" w:space="0" w:color="auto"/>
        <w:left w:val="none" w:sz="0" w:space="0" w:color="auto"/>
        <w:bottom w:val="none" w:sz="0" w:space="0" w:color="auto"/>
        <w:right w:val="none" w:sz="0" w:space="0" w:color="auto"/>
      </w:divBdr>
    </w:div>
    <w:div w:id="1970545211">
      <w:bodyDiv w:val="1"/>
      <w:marLeft w:val="0"/>
      <w:marRight w:val="0"/>
      <w:marTop w:val="0"/>
      <w:marBottom w:val="0"/>
      <w:divBdr>
        <w:top w:val="none" w:sz="0" w:space="0" w:color="auto"/>
        <w:left w:val="none" w:sz="0" w:space="0" w:color="auto"/>
        <w:bottom w:val="none" w:sz="0" w:space="0" w:color="auto"/>
        <w:right w:val="none" w:sz="0" w:space="0" w:color="auto"/>
      </w:divBdr>
    </w:div>
    <w:div w:id="20082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monesource.com/nmos/en/nav.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prc.nm.gov/case-lookup-e-dock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323F-5512-46AD-84D9-0AA8114D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Kippenbrock, Ana, PRC</dc:creator>
  <cp:keywords/>
  <cp:lastModifiedBy>Tillman Stevens</cp:lastModifiedBy>
  <cp:revision>2</cp:revision>
  <cp:lastPrinted>2024-10-17T16:50:00Z</cp:lastPrinted>
  <dcterms:created xsi:type="dcterms:W3CDTF">2024-10-28T15:37:00Z</dcterms:created>
  <dcterms:modified xsi:type="dcterms:W3CDTF">2024-10-28T15:37:00Z</dcterms:modified>
</cp:coreProperties>
</file>